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23ED5" w:rsidRPr="00272938" w:rsidRDefault="00723ED5" w:rsidP="004114C1">
      <w:pPr>
        <w:spacing w:after="360"/>
        <w:jc w:val="center"/>
        <w:outlineLvl w:val="0"/>
        <w:rPr>
          <w:rStyle w:val="Strong"/>
          <w:sz w:val="32"/>
          <w:szCs w:val="32"/>
        </w:rPr>
      </w:pPr>
      <w:r w:rsidRPr="00272938">
        <w:rPr>
          <w:rStyle w:val="Strong"/>
          <w:sz w:val="32"/>
          <w:szCs w:val="32"/>
        </w:rPr>
        <w:fldChar w:fldCharType="begin"/>
      </w:r>
      <w:r w:rsidRPr="00272938">
        <w:rPr>
          <w:rStyle w:val="Strong"/>
          <w:sz w:val="32"/>
          <w:szCs w:val="32"/>
        </w:rPr>
        <w:instrText xml:space="preserve"> SEQ CHAPTER \h \r 1</w:instrText>
      </w:r>
      <w:r w:rsidRPr="00272938">
        <w:rPr>
          <w:rStyle w:val="Strong"/>
          <w:sz w:val="32"/>
          <w:szCs w:val="32"/>
        </w:rPr>
        <w:fldChar w:fldCharType="end"/>
      </w:r>
      <w:r w:rsidR="002D61B7">
        <w:rPr>
          <w:rStyle w:val="Strong"/>
          <w:sz w:val="32"/>
          <w:szCs w:val="32"/>
        </w:rPr>
        <w:t>Statemen</w:t>
      </w:r>
      <w:r w:rsidRPr="00272938">
        <w:rPr>
          <w:rStyle w:val="Strong"/>
          <w:sz w:val="32"/>
          <w:szCs w:val="32"/>
        </w:rPr>
        <w:t>t of Basis of the Federal Operating Permit</w:t>
      </w:r>
    </w:p>
    <w:p w:rsidR="00723ED5" w:rsidRPr="00446E27" w:rsidRDefault="003C1FA9" w:rsidP="004114C1">
      <w:pPr>
        <w:spacing w:after="360"/>
        <w:jc w:val="center"/>
        <w:rPr>
          <w:sz w:val="24"/>
        </w:rPr>
      </w:pPr>
      <w:r>
        <w:rPr>
          <w:sz w:val="24"/>
        </w:rPr>
        <w:t>Gulf Coast Growth Ventures LLC</w:t>
      </w:r>
    </w:p>
    <w:p w:rsidR="000F03DC" w:rsidRDefault="000F03DC" w:rsidP="00723ED5">
      <w:pPr>
        <w:jc w:val="center"/>
      </w:pPr>
      <w:r>
        <w:t>Site</w:t>
      </w:r>
      <w:r w:rsidR="007318C8">
        <w:t xml:space="preserve"> Name</w:t>
      </w:r>
      <w:r w:rsidR="004C0BA1">
        <w:t xml:space="preserve">:  </w:t>
      </w:r>
      <w:r w:rsidR="003C1FA9">
        <w:t>Gulf Coast Growth Ventures</w:t>
      </w:r>
    </w:p>
    <w:p w:rsidR="00723ED5" w:rsidRDefault="00723ED5" w:rsidP="00723ED5">
      <w:pPr>
        <w:jc w:val="center"/>
      </w:pPr>
      <w:r>
        <w:t xml:space="preserve">Area Name:  </w:t>
      </w:r>
      <w:r w:rsidR="003C1FA9">
        <w:t>Olefins Derivative and Utilities</w:t>
      </w:r>
    </w:p>
    <w:p w:rsidR="00723ED5" w:rsidRDefault="00DB1C06" w:rsidP="00723ED5">
      <w:pPr>
        <w:jc w:val="center"/>
      </w:pPr>
      <w:r>
        <w:t>Physical L</w:t>
      </w:r>
      <w:r w:rsidR="00723ED5">
        <w:t xml:space="preserve">ocation:  </w:t>
      </w:r>
      <w:r w:rsidR="003C1FA9">
        <w:t>6414 County Road 1612</w:t>
      </w:r>
    </w:p>
    <w:p w:rsidR="00723ED5" w:rsidRDefault="00723ED5" w:rsidP="00723ED5">
      <w:pPr>
        <w:jc w:val="center"/>
      </w:pPr>
      <w:r>
        <w:t xml:space="preserve">Nearest City:  </w:t>
      </w:r>
      <w:r w:rsidR="003C1FA9">
        <w:t>Gregory</w:t>
      </w:r>
    </w:p>
    <w:p w:rsidR="00723ED5" w:rsidRDefault="00723ED5" w:rsidP="00D5001C">
      <w:pPr>
        <w:spacing w:after="640"/>
        <w:jc w:val="center"/>
      </w:pPr>
      <w:r>
        <w:t xml:space="preserve">County:  </w:t>
      </w:r>
      <w:r w:rsidR="003C1FA9">
        <w:t>San Patricio</w:t>
      </w:r>
    </w:p>
    <w:p w:rsidR="00723ED5" w:rsidRDefault="00723ED5" w:rsidP="00723ED5">
      <w:pPr>
        <w:jc w:val="center"/>
      </w:pPr>
      <w:r>
        <w:t xml:space="preserve">Permit Number:  </w:t>
      </w:r>
      <w:r w:rsidR="003C1FA9">
        <w:t>O4169</w:t>
      </w:r>
    </w:p>
    <w:p w:rsidR="00723ED5" w:rsidRDefault="00723ED5" w:rsidP="00D5001C">
      <w:pPr>
        <w:spacing w:after="640"/>
        <w:jc w:val="center"/>
      </w:pPr>
      <w:r>
        <w:t xml:space="preserve">Project Type:  </w:t>
      </w:r>
      <w:r w:rsidR="003C1FA9">
        <w:t>Initial Issuance</w:t>
      </w:r>
    </w:p>
    <w:p w:rsidR="00723ED5" w:rsidRDefault="00FC3F41" w:rsidP="00943696">
      <w:pPr>
        <w:jc w:val="center"/>
      </w:pPr>
      <w:r w:rsidRPr="00FC3F41">
        <w:t>The North American Industry Classification System (NAICS)</w:t>
      </w:r>
      <w:r>
        <w:t xml:space="preserve"> </w:t>
      </w:r>
      <w:r w:rsidR="00723ED5">
        <w:t xml:space="preserve">Code:  </w:t>
      </w:r>
      <w:r w:rsidR="003C1FA9">
        <w:t>325199</w:t>
      </w:r>
    </w:p>
    <w:p w:rsidR="00723ED5" w:rsidRDefault="00FC3F41" w:rsidP="00A12A6A">
      <w:pPr>
        <w:spacing w:after="2560"/>
        <w:jc w:val="center"/>
      </w:pPr>
      <w:r>
        <w:t>NAICS</w:t>
      </w:r>
      <w:r w:rsidR="00723ED5">
        <w:t xml:space="preserve"> Name:  </w:t>
      </w:r>
      <w:r w:rsidR="003C1FA9">
        <w:t>All Other Basic Organic Chemical Manufacturing</w:t>
      </w:r>
    </w:p>
    <w:tbl>
      <w:tblPr>
        <w:tblW w:w="0" w:type="auto"/>
        <w:tblInd w:w="81" w:type="dxa"/>
        <w:tblLayout w:type="fixed"/>
        <w:tblCellMar>
          <w:left w:w="81" w:type="dxa"/>
          <w:right w:w="81" w:type="dxa"/>
        </w:tblCellMar>
        <w:tblLook w:val="0000" w:firstRow="0" w:lastRow="0" w:firstColumn="0" w:lastColumn="0" w:noHBand="0" w:noVBand="0"/>
        <w:tblCaption w:val="Statement of Basis notice"/>
        <w:tblDescription w:val="Statement of Basis notice"/>
      </w:tblPr>
      <w:tblGrid>
        <w:gridCol w:w="10800"/>
      </w:tblGrid>
      <w:tr w:rsidR="00723ED5" w:rsidTr="00530745">
        <w:trPr>
          <w:tblHeader/>
        </w:trPr>
        <w:tc>
          <w:tcPr>
            <w:tcW w:w="10800" w:type="dxa"/>
            <w:tcBorders>
              <w:top w:val="single" w:sz="12" w:space="0" w:color="000000"/>
              <w:left w:val="single" w:sz="12" w:space="0" w:color="000000"/>
              <w:bottom w:val="single" w:sz="12" w:space="0" w:color="000000"/>
              <w:right w:val="single" w:sz="12" w:space="0" w:color="000000"/>
            </w:tcBorders>
          </w:tcPr>
          <w:p w:rsidR="00723ED5" w:rsidRDefault="00723ED5" w:rsidP="002A10A8">
            <w:pPr>
              <w:spacing w:before="80" w:after="240"/>
            </w:pPr>
            <w:r>
              <w:t xml:space="preserve">This Statement of Basis sets forth the legal and factual basis for the draft permit conditions in accordance with 30 TAC §122.201(a)(4). </w:t>
            </w:r>
            <w:r w:rsidR="003C1FA9">
              <w:t>An application for initial permit issuance has been submitted in accordance with 30 TAC § 122.201.</w:t>
            </w:r>
            <w:r>
              <w:t xml:space="preserve">  This document may include the following information:</w:t>
            </w:r>
          </w:p>
          <w:p w:rsidR="00723ED5" w:rsidRDefault="00723ED5" w:rsidP="003C1FA9">
            <w:pPr>
              <w:ind w:left="840"/>
            </w:pPr>
            <w:r>
              <w:t>A description of the facility/</w:t>
            </w:r>
            <w:r w:rsidR="00E2396F">
              <w:t>area process d</w:t>
            </w:r>
            <w:r>
              <w:t>escription;</w:t>
            </w:r>
          </w:p>
          <w:p w:rsidR="00723ED5" w:rsidRDefault="00723ED5" w:rsidP="00943696">
            <w:pPr>
              <w:ind w:left="840"/>
            </w:pPr>
            <w:r>
              <w:t>A basis for applying permit shields;</w:t>
            </w:r>
          </w:p>
          <w:p w:rsidR="00723ED5" w:rsidRDefault="00723ED5" w:rsidP="00943696">
            <w:pPr>
              <w:ind w:left="840"/>
            </w:pPr>
            <w:r>
              <w:t>A list of the federal regulatory applicability determinations;</w:t>
            </w:r>
          </w:p>
          <w:p w:rsidR="00723ED5" w:rsidRDefault="00723ED5" w:rsidP="00943696">
            <w:pPr>
              <w:ind w:left="840"/>
            </w:pPr>
            <w:r>
              <w:t>A table listing the determination of applicable requirements;</w:t>
            </w:r>
          </w:p>
          <w:p w:rsidR="00723ED5" w:rsidRDefault="00723ED5" w:rsidP="00943696">
            <w:pPr>
              <w:ind w:left="840"/>
            </w:pPr>
            <w:r>
              <w:t>A list of the New Source Review Requirements;</w:t>
            </w:r>
          </w:p>
          <w:p w:rsidR="00723ED5" w:rsidRDefault="00723ED5" w:rsidP="00943696">
            <w:pPr>
              <w:ind w:left="840"/>
            </w:pPr>
            <w:r>
              <w:t>The rationale for periodic monitoring methods selected;</w:t>
            </w:r>
          </w:p>
          <w:p w:rsidR="00723ED5" w:rsidRDefault="00723ED5" w:rsidP="00943696">
            <w:pPr>
              <w:ind w:left="840"/>
            </w:pPr>
            <w:r>
              <w:t>The rationale for compliance assurance methods selected;</w:t>
            </w:r>
          </w:p>
          <w:p w:rsidR="00723ED5" w:rsidRDefault="00723ED5" w:rsidP="00943696">
            <w:pPr>
              <w:ind w:left="840"/>
            </w:pPr>
            <w:r>
              <w:t>A compliance status; and</w:t>
            </w:r>
          </w:p>
          <w:p w:rsidR="00723ED5" w:rsidRDefault="00723ED5" w:rsidP="00943696">
            <w:pPr>
              <w:ind w:left="840"/>
            </w:pPr>
            <w:r>
              <w:t>A list of available unit attribute forms.</w:t>
            </w:r>
          </w:p>
          <w:p w:rsidR="00723ED5" w:rsidRDefault="00723ED5" w:rsidP="00446E27">
            <w:pPr>
              <w:spacing w:after="19"/>
            </w:pPr>
          </w:p>
        </w:tc>
      </w:tr>
    </w:tbl>
    <w:p w:rsidR="00723ED5" w:rsidRDefault="00723ED5" w:rsidP="00A12A6A">
      <w:pPr>
        <w:spacing w:before="480"/>
        <w:jc w:val="center"/>
      </w:pPr>
      <w:r>
        <w:t xml:space="preserve">Prepared on: </w:t>
      </w:r>
      <w:r w:rsidR="003C1FA9">
        <w:t>March 10, 2020</w:t>
      </w:r>
    </w:p>
    <w:p w:rsidR="003C1FA9" w:rsidRDefault="003C1FA9" w:rsidP="003C1FA9">
      <w:pPr>
        <w:spacing w:before="240"/>
        <w:jc w:val="center"/>
      </w:pPr>
      <w:r>
        <w:t xml:space="preserve">Revised </w:t>
      </w:r>
      <w:proofErr w:type="gramStart"/>
      <w:r>
        <w:t>on:</w:t>
      </w:r>
      <w:proofErr w:type="gramEnd"/>
      <w:r>
        <w:t xml:space="preserve"> </w:t>
      </w:r>
      <w:r w:rsidRPr="003C1FA9">
        <w:t>October 30, 2020</w:t>
      </w:r>
    </w:p>
    <w:p w:rsidR="00723ED5" w:rsidRDefault="00723ED5" w:rsidP="00943696">
      <w:pPr>
        <w:jc w:val="center"/>
      </w:pPr>
    </w:p>
    <w:p w:rsidR="00BD14EE" w:rsidRDefault="00BD14EE" w:rsidP="00943696">
      <w:pPr>
        <w:jc w:val="center"/>
        <w:sectPr w:rsidR="00BD14EE">
          <w:footerReference w:type="first" r:id="rId8"/>
          <w:type w:val="continuous"/>
          <w:pgSz w:w="12240" w:h="15840"/>
          <w:pgMar w:top="900" w:right="720" w:bottom="900" w:left="720" w:header="1440" w:footer="1440" w:gutter="0"/>
          <w:cols w:space="720"/>
        </w:sectPr>
      </w:pPr>
    </w:p>
    <w:p w:rsidR="00723ED5" w:rsidRPr="00446E27" w:rsidRDefault="00723ED5" w:rsidP="001F40E0">
      <w:pPr>
        <w:jc w:val="center"/>
        <w:outlineLvl w:val="0"/>
        <w:rPr>
          <w:rStyle w:val="Strong"/>
          <w:sz w:val="24"/>
        </w:rPr>
      </w:pPr>
      <w:r w:rsidRPr="00446E27">
        <w:rPr>
          <w:rStyle w:val="Strong"/>
          <w:sz w:val="24"/>
        </w:rPr>
        <w:lastRenderedPageBreak/>
        <w:t>O</w:t>
      </w:r>
      <w:r w:rsidR="002A578C" w:rsidRPr="00446E27">
        <w:rPr>
          <w:rStyle w:val="Strong"/>
          <w:sz w:val="24"/>
        </w:rPr>
        <w:t>perating Permit</w:t>
      </w:r>
    </w:p>
    <w:p w:rsidR="00723ED5" w:rsidRPr="00446E27" w:rsidRDefault="002A578C" w:rsidP="003E2923">
      <w:pPr>
        <w:spacing w:after="240"/>
        <w:jc w:val="center"/>
        <w:rPr>
          <w:rStyle w:val="Strong"/>
          <w:sz w:val="24"/>
        </w:rPr>
      </w:pPr>
      <w:r w:rsidRPr="00446E27">
        <w:rPr>
          <w:rStyle w:val="Strong"/>
          <w:sz w:val="24"/>
        </w:rPr>
        <w:t>Basis of</w:t>
      </w:r>
      <w:r w:rsidR="00723ED5" w:rsidRPr="00446E27">
        <w:rPr>
          <w:rStyle w:val="Strong"/>
          <w:sz w:val="24"/>
        </w:rPr>
        <w:t xml:space="preserve"> D</w:t>
      </w:r>
      <w:r w:rsidRPr="00446E27">
        <w:rPr>
          <w:rStyle w:val="Strong"/>
          <w:sz w:val="24"/>
        </w:rPr>
        <w:t>etermination</w:t>
      </w:r>
    </w:p>
    <w:p w:rsidR="00583FBA" w:rsidRPr="002A578C" w:rsidRDefault="00723ED5" w:rsidP="001F40E0">
      <w:pPr>
        <w:numPr>
          <w:ilvl w:val="12"/>
          <w:numId w:val="0"/>
        </w:numPr>
        <w:outlineLvl w:val="0"/>
        <w:rPr>
          <w:rStyle w:val="Strong"/>
        </w:rPr>
      </w:pPr>
      <w:r w:rsidRPr="002A578C">
        <w:rPr>
          <w:rStyle w:val="Strong"/>
        </w:rPr>
        <w:t>P</w:t>
      </w:r>
      <w:r w:rsidR="002A578C" w:rsidRPr="002A578C">
        <w:rPr>
          <w:rStyle w:val="Strong"/>
        </w:rPr>
        <w:t>ermit Area</w:t>
      </w:r>
      <w:r w:rsidRPr="002A578C">
        <w:rPr>
          <w:rStyle w:val="Strong"/>
        </w:rPr>
        <w:t xml:space="preserve"> P</w:t>
      </w:r>
      <w:r w:rsidR="002A578C" w:rsidRPr="002A578C">
        <w:rPr>
          <w:rStyle w:val="Strong"/>
        </w:rPr>
        <w:t>rocess</w:t>
      </w:r>
      <w:r w:rsidRPr="002A578C">
        <w:rPr>
          <w:rStyle w:val="Strong"/>
        </w:rPr>
        <w:t xml:space="preserve"> D</w:t>
      </w:r>
      <w:r w:rsidR="002A578C" w:rsidRPr="002A578C">
        <w:rPr>
          <w:rStyle w:val="Strong"/>
        </w:rPr>
        <w:t>escription</w:t>
      </w:r>
    </w:p>
    <w:p w:rsidR="003C1FA9" w:rsidRPr="00F0774D" w:rsidRDefault="003C1FA9" w:rsidP="003C1FA9">
      <w:pPr>
        <w:tabs>
          <w:tab w:val="left" w:pos="720"/>
          <w:tab w:val="left" w:pos="1440"/>
        </w:tabs>
        <w:rPr>
          <w:szCs w:val="20"/>
        </w:rPr>
      </w:pPr>
      <w:r w:rsidRPr="00F31CEC">
        <w:rPr>
          <w:szCs w:val="20"/>
        </w:rPr>
        <w:t>Gulf Coast Growth Ventures LLC (GCGV) is a grassroots olefin and derivatives manufacturing complex located near Gregory in San Patricio County, which includes a process unit that will convert market pipeline ethane to olefins (</w:t>
      </w:r>
      <w:r>
        <w:rPr>
          <w:szCs w:val="20"/>
        </w:rPr>
        <w:t>“</w:t>
      </w:r>
      <w:r w:rsidRPr="00F31CEC">
        <w:rPr>
          <w:szCs w:val="20"/>
        </w:rPr>
        <w:t>the Olefins unit</w:t>
      </w:r>
      <w:r>
        <w:rPr>
          <w:szCs w:val="20"/>
        </w:rPr>
        <w:t>”</w:t>
      </w:r>
      <w:r w:rsidRPr="00F31CEC">
        <w:rPr>
          <w:szCs w:val="20"/>
        </w:rPr>
        <w:t>) and multiple derivative units which will receive the ethylene, produced in the Olefins unit, as feed. The derivative units include two polyethylene units and a Mono-Ethylene Glycol (MEG) Unit. The utilities and infrastructure on-site support facilities include steam, rail, cooling water, liquid transport, and wastewater treatment.</w:t>
      </w:r>
    </w:p>
    <w:p w:rsidR="00723ED5" w:rsidRDefault="00723ED5" w:rsidP="002A578C">
      <w:pPr>
        <w:numPr>
          <w:ilvl w:val="12"/>
          <w:numId w:val="0"/>
        </w:numPr>
      </w:pPr>
    </w:p>
    <w:p w:rsidR="00352F49" w:rsidRPr="002A578C" w:rsidRDefault="00352F49" w:rsidP="00BA5C81">
      <w:pPr>
        <w:keepNext/>
        <w:numPr>
          <w:ilvl w:val="12"/>
          <w:numId w:val="0"/>
        </w:numPr>
        <w:spacing w:after="240"/>
        <w:outlineLvl w:val="0"/>
        <w:rPr>
          <w:rStyle w:val="Strong"/>
        </w:rPr>
      </w:pPr>
      <w:r w:rsidRPr="002A578C">
        <w:rPr>
          <w:rStyle w:val="Strong"/>
        </w:rPr>
        <w:t xml:space="preserve">FOPs </w:t>
      </w:r>
      <w:r w:rsidR="002A578C" w:rsidRPr="002A578C">
        <w:rPr>
          <w:rStyle w:val="Strong"/>
        </w:rPr>
        <w:t>at Site</w:t>
      </w:r>
    </w:p>
    <w:p w:rsidR="00815DC7" w:rsidRDefault="00815DC7" w:rsidP="00BA5C81">
      <w:pPr>
        <w:numPr>
          <w:ilvl w:val="12"/>
          <w:numId w:val="0"/>
        </w:numPr>
        <w:spacing w:after="240"/>
      </w:pPr>
      <w:r w:rsidRPr="00815DC7">
        <w:t xml:space="preserve">The </w:t>
      </w:r>
      <w:r w:rsidR="003C1FA9">
        <w:t>“</w:t>
      </w:r>
      <w:r w:rsidRPr="00815DC7">
        <w:t>application area</w:t>
      </w:r>
      <w:r w:rsidR="003C1FA9">
        <w:t>”</w:t>
      </w:r>
      <w:r w:rsidRPr="00815DC7">
        <w:t xml:space="preserve"> consists of the emission units and that portion of the site included in the application and this permit.  </w:t>
      </w:r>
      <w:r w:rsidR="00054352">
        <w:t xml:space="preserve">Multiple FOPs may be issued to a site in accordance with 30 TAC § 122.201(e).  </w:t>
      </w:r>
      <w:r w:rsidRPr="00815DC7">
        <w:t xml:space="preserve">When there is only one area for the site, then the application information and permit will include </w:t>
      </w:r>
      <w:r w:rsidR="00591566">
        <w:t xml:space="preserve">all units at the </w:t>
      </w:r>
      <w:r w:rsidRPr="00815DC7">
        <w:t>site.</w:t>
      </w:r>
      <w:r w:rsidR="00054352">
        <w:t xml:space="preserve">  Additional FOPs that exist at the site, if any, are listed below.</w:t>
      </w:r>
    </w:p>
    <w:p w:rsidR="00054352" w:rsidRPr="00815DC7" w:rsidRDefault="00054352" w:rsidP="00BA5C81">
      <w:pPr>
        <w:numPr>
          <w:ilvl w:val="12"/>
          <w:numId w:val="0"/>
        </w:numPr>
        <w:spacing w:after="240"/>
      </w:pPr>
      <w:r>
        <w:t xml:space="preserve">Additional FOPs:  </w:t>
      </w:r>
      <w:r w:rsidR="003C1FA9">
        <w:t>None</w:t>
      </w:r>
    </w:p>
    <w:p w:rsidR="00723ED5" w:rsidRPr="002A578C" w:rsidRDefault="00723ED5" w:rsidP="00BA5C81">
      <w:pPr>
        <w:keepNext/>
        <w:numPr>
          <w:ilvl w:val="12"/>
          <w:numId w:val="0"/>
        </w:numPr>
        <w:spacing w:after="240"/>
        <w:outlineLvl w:val="0"/>
        <w:rPr>
          <w:rStyle w:val="Strong"/>
        </w:rPr>
      </w:pPr>
      <w:r w:rsidRPr="002A578C">
        <w:rPr>
          <w:rStyle w:val="Strong"/>
        </w:rPr>
        <w:t>M</w:t>
      </w:r>
      <w:r w:rsidR="002A578C" w:rsidRPr="002A578C">
        <w:rPr>
          <w:rStyle w:val="Strong"/>
        </w:rPr>
        <w:t>ajor</w:t>
      </w:r>
      <w:r w:rsidRPr="002A578C">
        <w:rPr>
          <w:rStyle w:val="Strong"/>
        </w:rPr>
        <w:t xml:space="preserve"> S</w:t>
      </w:r>
      <w:r w:rsidR="002A578C" w:rsidRPr="002A578C">
        <w:rPr>
          <w:rStyle w:val="Strong"/>
        </w:rPr>
        <w:t>ource</w:t>
      </w:r>
      <w:r w:rsidRPr="002A578C">
        <w:rPr>
          <w:rStyle w:val="Strong"/>
        </w:rPr>
        <w:t xml:space="preserve"> </w:t>
      </w:r>
      <w:r w:rsidR="002A578C" w:rsidRPr="002A578C">
        <w:rPr>
          <w:rStyle w:val="Strong"/>
        </w:rPr>
        <w:t>Pollutants</w:t>
      </w:r>
    </w:p>
    <w:p w:rsidR="00723ED5" w:rsidRDefault="00723ED5" w:rsidP="00BA5C81">
      <w:pPr>
        <w:keepNext/>
        <w:numPr>
          <w:ilvl w:val="12"/>
          <w:numId w:val="0"/>
        </w:numPr>
        <w:spacing w:after="240"/>
      </w:pPr>
      <w:r>
        <w:t>The table below specifies the pollutants for which the site is a major source:</w:t>
      </w:r>
    </w:p>
    <w:tbl>
      <w:tblPr>
        <w:tblpPr w:leftFromText="187" w:rightFromText="187" w:topFromText="216" w:bottomFromText="216" w:vertAnchor="text" w:tblpXSpec="center" w:tblpY="1"/>
        <w:tblOverlap w:val="never"/>
        <w:tblW w:w="5000" w:type="pct"/>
        <w:tblLayout w:type="fixed"/>
        <w:tblCellMar>
          <w:top w:w="58" w:type="dxa"/>
          <w:left w:w="62" w:type="dxa"/>
          <w:bottom w:w="58" w:type="dxa"/>
          <w:right w:w="62" w:type="dxa"/>
        </w:tblCellMar>
        <w:tblLook w:val="0000" w:firstRow="0" w:lastRow="0" w:firstColumn="0" w:lastColumn="0" w:noHBand="0" w:noVBand="0"/>
        <w:tblCaption w:val="Major Pollutants"/>
        <w:tblDescription w:val="Major Pollutants"/>
      </w:tblPr>
      <w:tblGrid>
        <w:gridCol w:w="2001"/>
        <w:gridCol w:w="8733"/>
      </w:tblGrid>
      <w:tr w:rsidR="00723ED5" w:rsidTr="00593F59">
        <w:trPr>
          <w:tblHeader/>
        </w:trPr>
        <w:tc>
          <w:tcPr>
            <w:tcW w:w="1980" w:type="dxa"/>
            <w:tcBorders>
              <w:top w:val="double" w:sz="9" w:space="0" w:color="000000"/>
              <w:left w:val="double" w:sz="9" w:space="0" w:color="000000"/>
              <w:bottom w:val="double" w:sz="9" w:space="0" w:color="000000"/>
              <w:right w:val="nil"/>
            </w:tcBorders>
          </w:tcPr>
          <w:p w:rsidR="00723ED5" w:rsidRDefault="00723ED5" w:rsidP="00593F59">
            <w:pPr>
              <w:numPr>
                <w:ilvl w:val="12"/>
                <w:numId w:val="0"/>
              </w:numPr>
            </w:pPr>
            <w:r>
              <w:t>Major Pollutants</w:t>
            </w:r>
          </w:p>
        </w:tc>
        <w:tc>
          <w:tcPr>
            <w:tcW w:w="8640" w:type="dxa"/>
            <w:tcBorders>
              <w:top w:val="double" w:sz="9" w:space="0" w:color="000000"/>
              <w:left w:val="single" w:sz="6" w:space="0" w:color="000000"/>
              <w:bottom w:val="double" w:sz="9" w:space="0" w:color="000000"/>
              <w:right w:val="double" w:sz="9" w:space="0" w:color="000000"/>
            </w:tcBorders>
          </w:tcPr>
          <w:p w:rsidR="00723ED5" w:rsidRDefault="003C1FA9" w:rsidP="00593F59">
            <w:pPr>
              <w:numPr>
                <w:ilvl w:val="12"/>
                <w:numId w:val="0"/>
              </w:numPr>
            </w:pPr>
            <w:r>
              <w:t>VOC, PM, NOX, HAPS, CO</w:t>
            </w:r>
          </w:p>
        </w:tc>
      </w:tr>
    </w:tbl>
    <w:p w:rsidR="00455C7F" w:rsidRPr="002A578C" w:rsidRDefault="00455C7F" w:rsidP="00BA5C81">
      <w:pPr>
        <w:keepNext/>
        <w:spacing w:after="240"/>
        <w:outlineLvl w:val="0"/>
        <w:rPr>
          <w:rStyle w:val="Strong"/>
        </w:rPr>
      </w:pPr>
      <w:r w:rsidRPr="002A578C">
        <w:rPr>
          <w:rStyle w:val="Strong"/>
        </w:rPr>
        <w:t>R</w:t>
      </w:r>
      <w:r w:rsidR="002A578C" w:rsidRPr="002A578C">
        <w:rPr>
          <w:rStyle w:val="Strong"/>
        </w:rPr>
        <w:t>eading</w:t>
      </w:r>
      <w:r w:rsidRPr="002A578C">
        <w:rPr>
          <w:rStyle w:val="Strong"/>
        </w:rPr>
        <w:t xml:space="preserve"> State of Texas</w:t>
      </w:r>
      <w:r w:rsidR="003C1FA9">
        <w:rPr>
          <w:rStyle w:val="Strong"/>
        </w:rPr>
        <w:t>’</w:t>
      </w:r>
      <w:r w:rsidRPr="002A578C">
        <w:rPr>
          <w:rStyle w:val="Strong"/>
        </w:rPr>
        <w:t>s Federal Operatin</w:t>
      </w:r>
      <w:r w:rsidR="002A578C" w:rsidRPr="002A578C">
        <w:rPr>
          <w:rStyle w:val="Strong"/>
        </w:rPr>
        <w:t>g</w:t>
      </w:r>
      <w:r w:rsidRPr="002A578C">
        <w:rPr>
          <w:rStyle w:val="Strong"/>
        </w:rPr>
        <w:t xml:space="preserve"> Permit</w:t>
      </w:r>
    </w:p>
    <w:p w:rsidR="00455C7F" w:rsidRDefault="00455C7F" w:rsidP="00BA5C81">
      <w:pPr>
        <w:spacing w:after="240"/>
      </w:pPr>
      <w:r>
        <w:t xml:space="preserve">The Title V Federal Operating Permit (FOP) lists all state and federal air emission regulations and New Source Review (NSR) authorizations (collectively known as </w:t>
      </w:r>
      <w:r w:rsidR="003C1FA9">
        <w:t>“</w:t>
      </w:r>
      <w:r>
        <w:t>applicable requirements</w:t>
      </w:r>
      <w:r w:rsidR="003C1FA9">
        <w:t>”</w:t>
      </w:r>
      <w:r>
        <w:t xml:space="preserve">) that apply at a particular site or permit area (in the event a site has multiple FOPs).  </w:t>
      </w:r>
      <w:r w:rsidRPr="002A578C">
        <w:rPr>
          <w:rStyle w:val="Strong"/>
        </w:rPr>
        <w:t>The FOP does not authorize new emissions or new construction activities.</w:t>
      </w:r>
      <w:r>
        <w:t xml:space="preserve">  The FOP begins with an introductory page which is common to all Title V permits. This page gives the details of the company, states the authority of the issuing agency, requires the company to operate in accordance with this permit and 30 T</w:t>
      </w:r>
      <w:r w:rsidR="00100220">
        <w:t>exas Administrative Code (TAC) C</w:t>
      </w:r>
      <w:r>
        <w:t>hapter 122, requires adherence with NSR requirements of 30 TAC Chapter 116, and finally indicates the permit number and the issuance date.</w:t>
      </w:r>
    </w:p>
    <w:p w:rsidR="00455C7F" w:rsidRDefault="00455C7F" w:rsidP="00BA5C81">
      <w:pPr>
        <w:keepNext/>
        <w:spacing w:after="240"/>
      </w:pPr>
      <w:r>
        <w:t xml:space="preserve">This is followed by the table of contents, which is generally composed of the following elements.  Not all permits will have </w:t>
      </w:r>
      <w:proofErr w:type="gramStart"/>
      <w:r>
        <w:t>all of</w:t>
      </w:r>
      <w:proofErr w:type="gramEnd"/>
      <w:r>
        <w:t xml:space="preserve"> the elements.</w:t>
      </w:r>
    </w:p>
    <w:p w:rsidR="00455C7F" w:rsidRDefault="00455C7F" w:rsidP="002A578C">
      <w:pPr>
        <w:numPr>
          <w:ilvl w:val="0"/>
          <w:numId w:val="14"/>
        </w:numPr>
        <w:autoSpaceDE/>
        <w:autoSpaceDN/>
        <w:adjustRightInd/>
      </w:pPr>
      <w:r>
        <w:t>General Terms and Conditions</w:t>
      </w:r>
    </w:p>
    <w:p w:rsidR="00455C7F" w:rsidRDefault="00455C7F" w:rsidP="002A578C">
      <w:pPr>
        <w:numPr>
          <w:ilvl w:val="0"/>
          <w:numId w:val="14"/>
        </w:numPr>
        <w:autoSpaceDE/>
        <w:autoSpaceDN/>
        <w:adjustRightInd/>
      </w:pPr>
      <w:r>
        <w:t>Special Terms and Conditions</w:t>
      </w:r>
    </w:p>
    <w:p w:rsidR="00455C7F" w:rsidRDefault="00C612AC" w:rsidP="002A578C">
      <w:pPr>
        <w:numPr>
          <w:ilvl w:val="1"/>
          <w:numId w:val="14"/>
        </w:numPr>
        <w:autoSpaceDE/>
        <w:autoSpaceDN/>
        <w:adjustRightInd/>
      </w:pPr>
      <w:r>
        <w:t>Emissions L</w:t>
      </w:r>
      <w:r w:rsidR="00455C7F">
        <w:t>imitations and Standards, Monit</w:t>
      </w:r>
      <w:r w:rsidR="00223B9D">
        <w:t>oring and Testing, and Record</w:t>
      </w:r>
      <w:r w:rsidR="00455C7F">
        <w:t>keeping and Reporting</w:t>
      </w:r>
    </w:p>
    <w:p w:rsidR="00455C7F" w:rsidRDefault="00455C7F" w:rsidP="002A578C">
      <w:pPr>
        <w:numPr>
          <w:ilvl w:val="1"/>
          <w:numId w:val="14"/>
        </w:numPr>
        <w:autoSpaceDE/>
        <w:autoSpaceDN/>
        <w:adjustRightInd/>
      </w:pPr>
      <w:r>
        <w:t>Additional Monitoring Requirements</w:t>
      </w:r>
    </w:p>
    <w:p w:rsidR="00455C7F" w:rsidRDefault="00455C7F" w:rsidP="002A578C">
      <w:pPr>
        <w:numPr>
          <w:ilvl w:val="1"/>
          <w:numId w:val="14"/>
        </w:numPr>
        <w:autoSpaceDE/>
        <w:autoSpaceDN/>
        <w:adjustRightInd/>
      </w:pPr>
      <w:r>
        <w:t>New Source Review Authorization Requirements</w:t>
      </w:r>
    </w:p>
    <w:p w:rsidR="00455C7F" w:rsidRDefault="00455C7F" w:rsidP="002A578C">
      <w:pPr>
        <w:numPr>
          <w:ilvl w:val="1"/>
          <w:numId w:val="14"/>
        </w:numPr>
        <w:autoSpaceDE/>
        <w:autoSpaceDN/>
        <w:adjustRightInd/>
      </w:pPr>
      <w:r>
        <w:t>Compliance Requirements</w:t>
      </w:r>
    </w:p>
    <w:p w:rsidR="00455C7F" w:rsidRDefault="00455C7F" w:rsidP="002A578C">
      <w:pPr>
        <w:numPr>
          <w:ilvl w:val="1"/>
          <w:numId w:val="14"/>
        </w:numPr>
        <w:autoSpaceDE/>
        <w:autoSpaceDN/>
        <w:adjustRightInd/>
      </w:pPr>
      <w:r>
        <w:t>Protection of Stratosphere Ozone</w:t>
      </w:r>
    </w:p>
    <w:p w:rsidR="00455C7F" w:rsidRDefault="00455C7F" w:rsidP="002A578C">
      <w:pPr>
        <w:numPr>
          <w:ilvl w:val="1"/>
          <w:numId w:val="14"/>
        </w:numPr>
        <w:autoSpaceDE/>
        <w:autoSpaceDN/>
        <w:adjustRightInd/>
      </w:pPr>
      <w:r>
        <w:t>Permit Location</w:t>
      </w:r>
    </w:p>
    <w:p w:rsidR="00455C7F" w:rsidRDefault="00455C7F" w:rsidP="002A578C">
      <w:pPr>
        <w:numPr>
          <w:ilvl w:val="1"/>
          <w:numId w:val="14"/>
        </w:numPr>
        <w:autoSpaceDE/>
        <w:autoSpaceDN/>
        <w:adjustRightInd/>
      </w:pPr>
      <w:r>
        <w:t>Permit Shield (30 TAC</w:t>
      </w:r>
      <w:r w:rsidR="00100220">
        <w:t xml:space="preserve"> </w:t>
      </w:r>
      <w:r>
        <w:t>§ 122.148)</w:t>
      </w:r>
    </w:p>
    <w:p w:rsidR="00455C7F" w:rsidRDefault="00455C7F" w:rsidP="002A578C">
      <w:pPr>
        <w:numPr>
          <w:ilvl w:val="0"/>
          <w:numId w:val="14"/>
        </w:numPr>
        <w:autoSpaceDE/>
        <w:autoSpaceDN/>
        <w:adjustRightInd/>
      </w:pPr>
      <w:r>
        <w:t>Attachments</w:t>
      </w:r>
    </w:p>
    <w:p w:rsidR="00455C7F" w:rsidRDefault="00455C7F" w:rsidP="002A578C">
      <w:pPr>
        <w:numPr>
          <w:ilvl w:val="1"/>
          <w:numId w:val="14"/>
        </w:numPr>
        <w:autoSpaceDE/>
        <w:autoSpaceDN/>
        <w:adjustRightInd/>
      </w:pPr>
      <w:r>
        <w:t>Applicable Requirements Summary</w:t>
      </w:r>
    </w:p>
    <w:p w:rsidR="00455C7F" w:rsidRDefault="00455C7F" w:rsidP="002A578C">
      <w:pPr>
        <w:numPr>
          <w:ilvl w:val="2"/>
          <w:numId w:val="14"/>
        </w:numPr>
        <w:autoSpaceDE/>
        <w:autoSpaceDN/>
        <w:adjustRightInd/>
      </w:pPr>
      <w:r>
        <w:t>Unit Summary</w:t>
      </w:r>
    </w:p>
    <w:p w:rsidR="00455C7F" w:rsidRDefault="00455C7F" w:rsidP="002A578C">
      <w:pPr>
        <w:numPr>
          <w:ilvl w:val="2"/>
          <w:numId w:val="14"/>
        </w:numPr>
        <w:autoSpaceDE/>
        <w:autoSpaceDN/>
        <w:adjustRightInd/>
      </w:pPr>
      <w:r>
        <w:t>Applicable Requirements Summary</w:t>
      </w:r>
    </w:p>
    <w:p w:rsidR="00455C7F" w:rsidRDefault="00455C7F" w:rsidP="002A578C">
      <w:pPr>
        <w:numPr>
          <w:ilvl w:val="1"/>
          <w:numId w:val="14"/>
        </w:numPr>
        <w:autoSpaceDE/>
        <w:autoSpaceDN/>
        <w:adjustRightInd/>
      </w:pPr>
      <w:r>
        <w:t>Additional Monitoring Requirements</w:t>
      </w:r>
    </w:p>
    <w:p w:rsidR="00455C7F" w:rsidRDefault="00455C7F" w:rsidP="002A578C">
      <w:pPr>
        <w:numPr>
          <w:ilvl w:val="1"/>
          <w:numId w:val="14"/>
        </w:numPr>
        <w:autoSpaceDE/>
        <w:autoSpaceDN/>
        <w:adjustRightInd/>
      </w:pPr>
      <w:r>
        <w:t>Permit Shield</w:t>
      </w:r>
    </w:p>
    <w:p w:rsidR="00455C7F" w:rsidRDefault="00455C7F" w:rsidP="002A578C">
      <w:pPr>
        <w:numPr>
          <w:ilvl w:val="1"/>
          <w:numId w:val="14"/>
        </w:numPr>
        <w:autoSpaceDE/>
        <w:autoSpaceDN/>
        <w:adjustRightInd/>
      </w:pPr>
      <w:r>
        <w:t>New Source Review Authorization References</w:t>
      </w:r>
    </w:p>
    <w:p w:rsidR="00455C7F" w:rsidRPr="00DE1959" w:rsidRDefault="00455C7F" w:rsidP="002A578C">
      <w:pPr>
        <w:numPr>
          <w:ilvl w:val="1"/>
          <w:numId w:val="14"/>
        </w:numPr>
        <w:autoSpaceDE/>
        <w:autoSpaceDN/>
        <w:adjustRightInd/>
      </w:pPr>
      <w:r w:rsidRPr="00DE1959">
        <w:lastRenderedPageBreak/>
        <w:t>Compliance Plan</w:t>
      </w:r>
    </w:p>
    <w:p w:rsidR="00455C7F" w:rsidRPr="00DE1959" w:rsidRDefault="00AD223E" w:rsidP="002A578C">
      <w:pPr>
        <w:numPr>
          <w:ilvl w:val="1"/>
          <w:numId w:val="14"/>
        </w:numPr>
        <w:autoSpaceDE/>
        <w:autoSpaceDN/>
        <w:adjustRightInd/>
      </w:pPr>
      <w:r w:rsidRPr="00DE1959">
        <w:t>Alternative</w:t>
      </w:r>
      <w:r w:rsidR="00455C7F" w:rsidRPr="00DE1959">
        <w:t xml:space="preserve"> Requirements</w:t>
      </w:r>
    </w:p>
    <w:p w:rsidR="00455C7F" w:rsidRPr="00DE1959" w:rsidRDefault="00455C7F" w:rsidP="002A578C">
      <w:pPr>
        <w:numPr>
          <w:ilvl w:val="0"/>
          <w:numId w:val="14"/>
        </w:numPr>
        <w:autoSpaceDE/>
        <w:autoSpaceDN/>
        <w:adjustRightInd/>
      </w:pPr>
      <w:r w:rsidRPr="00DE1959">
        <w:t>Appendix A</w:t>
      </w:r>
    </w:p>
    <w:p w:rsidR="00455C7F" w:rsidRDefault="00455C7F" w:rsidP="002A578C">
      <w:pPr>
        <w:numPr>
          <w:ilvl w:val="1"/>
          <w:numId w:val="14"/>
        </w:numPr>
        <w:autoSpaceDE/>
        <w:autoSpaceDN/>
        <w:adjustRightInd/>
      </w:pPr>
      <w:r>
        <w:t>Acronym list</w:t>
      </w:r>
    </w:p>
    <w:p w:rsidR="00705058" w:rsidRPr="00DE1959" w:rsidRDefault="00705058" w:rsidP="002A578C">
      <w:pPr>
        <w:numPr>
          <w:ilvl w:val="0"/>
          <w:numId w:val="14"/>
        </w:numPr>
        <w:autoSpaceDE/>
        <w:autoSpaceDN/>
        <w:adjustRightInd/>
      </w:pPr>
      <w:r w:rsidRPr="00DE1959">
        <w:t>Appendix B</w:t>
      </w:r>
    </w:p>
    <w:p w:rsidR="00705058" w:rsidRPr="00DE1959" w:rsidRDefault="00705058" w:rsidP="002A578C">
      <w:pPr>
        <w:numPr>
          <w:ilvl w:val="1"/>
          <w:numId w:val="14"/>
        </w:numPr>
        <w:autoSpaceDE/>
        <w:autoSpaceDN/>
        <w:adjustRightInd/>
      </w:pPr>
      <w:r>
        <w:t>Copies of major NSR authorizations</w:t>
      </w:r>
    </w:p>
    <w:p w:rsidR="00C612AC" w:rsidRDefault="00C612AC" w:rsidP="005772BA">
      <w:pPr>
        <w:autoSpaceDE/>
        <w:autoSpaceDN/>
        <w:adjustRightInd/>
      </w:pPr>
    </w:p>
    <w:p w:rsidR="00455C7F" w:rsidRPr="002A578C" w:rsidRDefault="00455C7F" w:rsidP="00BE108A">
      <w:pPr>
        <w:keepNext/>
        <w:spacing w:after="240"/>
        <w:outlineLvl w:val="0"/>
      </w:pPr>
      <w:r w:rsidRPr="002A578C">
        <w:t>General Term</w:t>
      </w:r>
      <w:r w:rsidR="00100220" w:rsidRPr="002A578C">
        <w:t>s</w:t>
      </w:r>
      <w:r w:rsidRPr="002A578C">
        <w:t xml:space="preserve"> and Conditions</w:t>
      </w:r>
    </w:p>
    <w:p w:rsidR="00455C7F" w:rsidRDefault="00455C7F" w:rsidP="002A3BF7">
      <w:pPr>
        <w:spacing w:after="240"/>
      </w:pPr>
      <w:r>
        <w:t xml:space="preserve">The General Terms and Conditions are </w:t>
      </w:r>
      <w:r w:rsidR="00F8374E">
        <w:t xml:space="preserve">the same and </w:t>
      </w:r>
      <w:r>
        <w:t xml:space="preserve">appear in all permits.  The first paragraph lists the specific citations for 30 TAC Chapter 122 requirements that apply to all Title V permit holders. </w:t>
      </w:r>
      <w:r w:rsidR="00591566" w:rsidRPr="00DE1959">
        <w:t>The</w:t>
      </w:r>
      <w:r w:rsidRPr="00DE1959">
        <w:t xml:space="preserve"> second paragraph describes the requirements for record retention.  The third paragraph provides details for voiding the permit, if applicable. The fourth paragraph states that the permit holder shall comply with the requirements of 30 TAC Chapter 116 by obtaining a New Source Review authorization prior to new construction or modification of emission units located in the area covered by this permit.  The fifth</w:t>
      </w:r>
      <w:r>
        <w:t xml:space="preserve"> paragraph provides details on submission of reports required by the permit.</w:t>
      </w:r>
    </w:p>
    <w:p w:rsidR="00455C7F" w:rsidRPr="002A578C" w:rsidRDefault="00100220" w:rsidP="002A3BF7">
      <w:pPr>
        <w:keepNext/>
        <w:spacing w:after="240"/>
        <w:outlineLvl w:val="0"/>
      </w:pPr>
      <w:r w:rsidRPr="002A578C">
        <w:t>Special Terms and C</w:t>
      </w:r>
      <w:r w:rsidR="00455C7F" w:rsidRPr="002A578C">
        <w:t>onditions</w:t>
      </w:r>
    </w:p>
    <w:p w:rsidR="00455C7F" w:rsidRDefault="00100220" w:rsidP="002A3BF7">
      <w:pPr>
        <w:spacing w:after="240"/>
      </w:pPr>
      <w:r w:rsidRPr="002A578C">
        <w:t>Emissions L</w:t>
      </w:r>
      <w:r w:rsidR="00455C7F" w:rsidRPr="002A578C">
        <w:t>imitations and Standards, Monit</w:t>
      </w:r>
      <w:r w:rsidR="00D255CF" w:rsidRPr="002A578C">
        <w:t>oring and Testing, and Record</w:t>
      </w:r>
      <w:r w:rsidR="00455C7F" w:rsidRPr="002A578C">
        <w:t>keeping and Reporting.</w:t>
      </w:r>
      <w:r w:rsidR="00B657E0">
        <w:t xml:space="preserve"> </w:t>
      </w:r>
      <w:r w:rsidR="00455C7F">
        <w:t xml:space="preserve"> The TCEQ has designated certain applicable requirements as site-wide requirements. A site-wide requirement is a requirement that applies uniformly to all the u</w:t>
      </w:r>
      <w:r w:rsidR="00591566">
        <w:t xml:space="preserve">nits or activities at the site.  </w:t>
      </w:r>
      <w:r w:rsidR="00455C7F">
        <w:t>Units with only site-wide requirements are addressed on Form OP-REQ1 and are not required to be listed separately on a</w:t>
      </w:r>
      <w:r w:rsidR="00F94596">
        <w:t>n</w:t>
      </w:r>
      <w:r w:rsidR="00455C7F">
        <w:t xml:space="preserve"> OP-UA Form or Form OP-SUM.  </w:t>
      </w:r>
      <w:r w:rsidR="00455C7F" w:rsidRPr="00BA48F0">
        <w:t>Form OP-S</w:t>
      </w:r>
      <w:r w:rsidR="00455C7F">
        <w:t>UM must list all units addressed in the application and provide</w:t>
      </w:r>
      <w:r w:rsidR="00455C7F" w:rsidRPr="00BA48F0">
        <w:t xml:space="preserve"> identifying information, applicable OP-UA Form</w:t>
      </w:r>
      <w:r w:rsidR="00455C7F">
        <w:t>s</w:t>
      </w:r>
      <w:r w:rsidR="00455C7F" w:rsidRPr="00BA48F0">
        <w:t>, and preconstruction authorizations.  The various OP-UA Forms provide the characteristi</w:t>
      </w:r>
      <w:r w:rsidR="00455C7F">
        <w:t>c</w:t>
      </w:r>
      <w:r w:rsidR="00455C7F" w:rsidRPr="00BA48F0">
        <w:t>s of each unit from which applicable requirements are established.</w:t>
      </w:r>
      <w:r w:rsidR="00455C7F">
        <w:t xml:space="preserve">  Some exceptions exist as a few units may have both site-wide requirements and unit specific requirements.</w:t>
      </w:r>
    </w:p>
    <w:p w:rsidR="00455C7F" w:rsidRDefault="00455C7F" w:rsidP="002A3BF7">
      <w:pPr>
        <w:spacing w:after="240"/>
      </w:pPr>
      <w:r w:rsidRPr="002A578C">
        <w:t>Other conditions.</w:t>
      </w:r>
      <w:r>
        <w:t xml:space="preserve">  The other entries under special terms and conditions are in general terms referring to compliance with the more detailed data listed in the attachments.</w:t>
      </w:r>
    </w:p>
    <w:p w:rsidR="00455C7F" w:rsidRPr="002A578C" w:rsidRDefault="00455C7F" w:rsidP="002A3BF7">
      <w:pPr>
        <w:keepNext/>
        <w:spacing w:after="240"/>
        <w:outlineLvl w:val="0"/>
      </w:pPr>
      <w:r w:rsidRPr="002A578C">
        <w:t>Attachments</w:t>
      </w:r>
    </w:p>
    <w:p w:rsidR="00455C7F" w:rsidRPr="00DE1959" w:rsidRDefault="00455C7F" w:rsidP="002A3BF7">
      <w:pPr>
        <w:spacing w:after="240"/>
      </w:pPr>
      <w:r w:rsidRPr="00943696">
        <w:t xml:space="preserve">Applicable Requirements Summary.  The first attachment, the Applicable Requirements Summary, </w:t>
      </w:r>
      <w:r w:rsidR="00100220" w:rsidRPr="00943696">
        <w:t xml:space="preserve">has two tables, addressing unit </w:t>
      </w:r>
      <w:r w:rsidRPr="00943696">
        <w:t>specific requirements.  The first table, the Unit Summary, includes a list of units with applicable requirements, the unit type, the applicable regulation, and the</w:t>
      </w:r>
      <w:r w:rsidRPr="00DE1959">
        <w:t xml:space="preserve"> requirement driver. The intent of the requirement driver is to inform the reader that a given unit may have several different operating scenarios and the differences be</w:t>
      </w:r>
      <w:r w:rsidR="00DE1959">
        <w:t>tween those operating scenarios.</w:t>
      </w:r>
    </w:p>
    <w:p w:rsidR="00455C7F" w:rsidRPr="00DE1959" w:rsidRDefault="00455C7F" w:rsidP="002A3BF7">
      <w:pPr>
        <w:spacing w:after="240"/>
      </w:pPr>
      <w:r w:rsidRPr="00DE1959">
        <w:t xml:space="preserve">The applicable requirements summary table provides the detailed citations of the rules that apply to the various units. For each unit and operating scenario, there is an added modifier called the </w:t>
      </w:r>
      <w:r w:rsidR="003C1FA9">
        <w:t>“</w:t>
      </w:r>
      <w:r w:rsidRPr="00DE1959">
        <w:t>index number,</w:t>
      </w:r>
      <w:r w:rsidR="003C1FA9">
        <w:t>”</w:t>
      </w:r>
      <w:r w:rsidRPr="00DE1959">
        <w:t xml:space="preserve"> detailed citations specifying monitoring and testing requirements, recordkeeping requirements, and reporting requirements. The data for this table </w:t>
      </w:r>
      <w:r w:rsidR="00F94596">
        <w:t>is</w:t>
      </w:r>
      <w:r w:rsidRPr="00DE1959">
        <w:t xml:space="preserve"> based on data supplied by the applicant on the OP-SUM and various OP-UA forms.</w:t>
      </w:r>
    </w:p>
    <w:p w:rsidR="00705058" w:rsidRDefault="00455C7F" w:rsidP="002A3BF7">
      <w:pPr>
        <w:spacing w:after="240"/>
      </w:pPr>
      <w:r w:rsidRPr="00DE1959">
        <w:t>Additional Monitoring Requirement.</w:t>
      </w:r>
      <w:r w:rsidR="00DE1959">
        <w:t xml:space="preserve">  </w:t>
      </w:r>
      <w:r w:rsidRPr="00DE1959">
        <w:t>The next attachment includes additional monitoring the applicant must perform to ensure compliance with the applicable standard.</w:t>
      </w:r>
      <w:r w:rsidRPr="00043F1E">
        <w:t xml:space="preserve"> </w:t>
      </w:r>
      <w:r>
        <w:t xml:space="preserve"> Compliance assurance monitoring (CAM) is often required to provide a reasonable assurance of compliance with applicable emission limitations/standards for large emission units that use control devices to achieve compliance with applicant requirements.  When necessary, periodic monitoring (PM) requirements are specified for certain parameters (i.e. feed rates, flow</w:t>
      </w:r>
      <w:r w:rsidR="00100220">
        <w:t xml:space="preserve"> rates, temperature, fuel type and</w:t>
      </w:r>
      <w:r>
        <w:t xml:space="preserve"> consumption</w:t>
      </w:r>
      <w:r w:rsidR="00100220">
        <w:t>, etc.) to determine if a term and</w:t>
      </w:r>
      <w:r>
        <w:t xml:space="preserve"> condition or emission unit is operating within specified limits to control emissions.  These additional monitoring approaches may be required for two reasons.  First, the applicable rules do not adequately specify monitoring requirements (exception- Maximum Achievable Control Technology Standards (MACTs) generally have </w:t>
      </w:r>
      <w:proofErr w:type="gramStart"/>
      <w:r>
        <w:t>sufficient</w:t>
      </w:r>
      <w:proofErr w:type="gramEnd"/>
      <w:r>
        <w:t xml:space="preserve"> monitoring), and second, monitoring may be required to fill gaps in the monitoring requirements of certain applicable requirements.  In situations where the NSR permit is the applicable requirement requiring extra monitoring for a specific emission unit, the preferred solution is to have the monitoring requirements in the NSR permit updated so that all NSR requirements are consolidated in the NSR permit.</w:t>
      </w:r>
    </w:p>
    <w:p w:rsidR="00455C7F" w:rsidRPr="00C33013" w:rsidRDefault="00455C7F" w:rsidP="002A3BF7">
      <w:pPr>
        <w:spacing w:after="240"/>
      </w:pPr>
      <w:r w:rsidRPr="002A578C">
        <w:lastRenderedPageBreak/>
        <w:t>Permit Shield.</w:t>
      </w:r>
      <w:r>
        <w:t xml:space="preserve">  A permit may or may not have a permit shield, depending on whether an applicant has applied for, and justified the granting of, a permit shield. A permit shield is a special condition included in the permit document stating that compliance with the conditions of the permit shall be deemed compliance with the specified potentially applicable requirement(s) or specified applicable state-only requirement(s).</w:t>
      </w:r>
    </w:p>
    <w:p w:rsidR="00AD223E" w:rsidRDefault="00455C7F" w:rsidP="002A3BF7">
      <w:pPr>
        <w:spacing w:after="240"/>
      </w:pPr>
      <w:r w:rsidRPr="002A578C">
        <w:t>New Source Review Authorization References.</w:t>
      </w:r>
      <w:r>
        <w:t xml:space="preserve">  All activities which are related to emissions in the state of Texas must have </w:t>
      </w:r>
      <w:proofErr w:type="gramStart"/>
      <w:r>
        <w:t>a</w:t>
      </w:r>
      <w:proofErr w:type="gramEnd"/>
      <w:r>
        <w:t xml:space="preserve"> NSR authorization prior to beginning construction.  This </w:t>
      </w:r>
      <w:r w:rsidRPr="00DE1959">
        <w:t>section lists all units in the permit and the NSR authorization that allowed the unit to be constructed or modified.  Units that do not have unit specific applicable requirements other than the NSR authorization do not need to be listed in this attachment.  While NSR permits are not physically a part of the Title V permit, they are legally incorporated into the Title V permit by reference. Those NSR permits whose emissions exceed certain PSD/NA</w:t>
      </w:r>
      <w:r>
        <w:t xml:space="preserve"> thresholds must also undergo a Federal review of federally regulated pollutants in addition to review for state regulated pollutants.</w:t>
      </w:r>
    </w:p>
    <w:p w:rsidR="00AD223E" w:rsidRDefault="00AD223E" w:rsidP="002A3BF7">
      <w:pPr>
        <w:spacing w:after="240"/>
      </w:pPr>
      <w:r w:rsidRPr="002A578C">
        <w:t>Compliance Plan.</w:t>
      </w:r>
      <w:r>
        <w:t xml:space="preserve">  A permit may have a compliance schedule attachment for listing corrective actions plans for any emission unit that is out of compliance with an applicable requirement.</w:t>
      </w:r>
    </w:p>
    <w:p w:rsidR="00455C7F" w:rsidRDefault="00AD223E" w:rsidP="002A3BF7">
      <w:pPr>
        <w:spacing w:after="240"/>
      </w:pPr>
      <w:r w:rsidRPr="002A578C">
        <w:t>Alternative Requirements.</w:t>
      </w:r>
      <w:r>
        <w:t xml:space="preserve">  This attachment will list any alternative monitoring plans or alternative means of compliance</w:t>
      </w:r>
      <w:r w:rsidR="00455C7F">
        <w:t xml:space="preserve"> </w:t>
      </w:r>
      <w:r>
        <w:t>for applicable requirements that have been approved by the EPA Administrator and/or the TCEQ Executive Director.</w:t>
      </w:r>
    </w:p>
    <w:p w:rsidR="00455C7F" w:rsidRPr="002A578C" w:rsidRDefault="00455C7F" w:rsidP="002A3BF7">
      <w:pPr>
        <w:spacing w:after="240"/>
        <w:outlineLvl w:val="0"/>
      </w:pPr>
      <w:r w:rsidRPr="002A578C">
        <w:t>Appendix A</w:t>
      </w:r>
    </w:p>
    <w:p w:rsidR="00455C7F" w:rsidRDefault="00455C7F" w:rsidP="002A3BF7">
      <w:pPr>
        <w:numPr>
          <w:ilvl w:val="12"/>
          <w:numId w:val="0"/>
        </w:numPr>
        <w:spacing w:after="240"/>
        <w:outlineLvl w:val="0"/>
      </w:pPr>
      <w:r w:rsidRPr="002A578C">
        <w:t>Acronym list.</w:t>
      </w:r>
      <w:r>
        <w:t xml:space="preserve">  This attach</w:t>
      </w:r>
      <w:r w:rsidRPr="00946788">
        <w:t>ment list</w:t>
      </w:r>
      <w:r>
        <w:t>s</w:t>
      </w:r>
      <w:r w:rsidRPr="00946788">
        <w:t xml:space="preserve"> the common acronym</w:t>
      </w:r>
      <w:r>
        <w:t>s</w:t>
      </w:r>
      <w:r w:rsidRPr="00946788">
        <w:t xml:space="preserve"> used </w:t>
      </w:r>
      <w:r>
        <w:t>when discussing the FOPs.</w:t>
      </w:r>
    </w:p>
    <w:p w:rsidR="00705058" w:rsidRPr="00DE1959" w:rsidRDefault="00705058" w:rsidP="0061615F">
      <w:pPr>
        <w:keepNext/>
        <w:spacing w:after="240"/>
        <w:outlineLvl w:val="0"/>
      </w:pPr>
      <w:r w:rsidRPr="00DE1959">
        <w:t>Appendix B</w:t>
      </w:r>
    </w:p>
    <w:p w:rsidR="00455C7F" w:rsidRDefault="00705058" w:rsidP="0061615F">
      <w:pPr>
        <w:numPr>
          <w:ilvl w:val="12"/>
          <w:numId w:val="0"/>
        </w:numPr>
        <w:spacing w:after="240"/>
      </w:pPr>
      <w:r>
        <w:t>Copies of major NSR authorizations applicable to the units covered by this permit have been included in this Appendix, to ensure that all interested persons can access those authorizations.</w:t>
      </w:r>
    </w:p>
    <w:p w:rsidR="00D44F0E" w:rsidRPr="00E3237E" w:rsidRDefault="00D44F0E" w:rsidP="00D44F0E">
      <w:pPr>
        <w:keepNext/>
        <w:numPr>
          <w:ilvl w:val="12"/>
          <w:numId w:val="0"/>
        </w:numPr>
        <w:spacing w:after="240"/>
        <w:rPr>
          <w:b/>
          <w:bCs/>
        </w:rPr>
      </w:pPr>
      <w:r w:rsidRPr="00E3237E">
        <w:rPr>
          <w:b/>
          <w:bCs/>
        </w:rPr>
        <w:t>Stationary vents subject to 30 TAC Chapter 111, Subchapter A, § 111.111(a)(1)(B) addressed in the Special Terms and Conditions</w:t>
      </w:r>
    </w:p>
    <w:p w:rsidR="00D44F0E" w:rsidRPr="00E3237E" w:rsidRDefault="00D44F0E" w:rsidP="00D44F0E">
      <w:pPr>
        <w:spacing w:after="240"/>
      </w:pPr>
      <w:r w:rsidRPr="00E3237E">
        <w:t>The site contains stationary vents with a flowrate less than 100,000 actual cubic feet per minute (</w:t>
      </w:r>
      <w:proofErr w:type="spellStart"/>
      <w:r w:rsidRPr="00E3237E">
        <w:t>acfm</w:t>
      </w:r>
      <w:proofErr w:type="spellEnd"/>
      <w:r w:rsidRPr="00E3237E">
        <w:t xml:space="preserve">) and constructed after January 31, 1972 which are limited, over a six-minute average, to 20% opacity as required by 30 TAC § 111.111(a)(1)(B).  As a site may have </w:t>
      </w:r>
      <w:proofErr w:type="gramStart"/>
      <w:r w:rsidRPr="00E3237E">
        <w:t>a large number of</w:t>
      </w:r>
      <w:proofErr w:type="gramEnd"/>
      <w:r w:rsidRPr="00E3237E">
        <w:t xml:space="preserve"> stationary vents that fall into this category, they are not required to be listed individually in the permit</w:t>
      </w:r>
      <w:r w:rsidR="003C1FA9">
        <w:t>’</w:t>
      </w:r>
      <w:r w:rsidRPr="00E3237E">
        <w:t>s Applicable Requirement Summary.  This is consistent with EPA</w:t>
      </w:r>
      <w:r w:rsidR="003C1FA9">
        <w:t>’</w:t>
      </w:r>
      <w:r w:rsidRPr="00E3237E">
        <w:t>s White Paper for Streamlined Development of Part 70 Permit Applications, July 10, 1995, that states that requirements that apply identically to emission units at a site can be treated on a generic basis such as source-wide opacity limits.</w:t>
      </w:r>
    </w:p>
    <w:p w:rsidR="00D44F0E" w:rsidRPr="00E3237E" w:rsidRDefault="00D44F0E" w:rsidP="00D44F0E">
      <w:pPr>
        <w:spacing w:after="240"/>
      </w:pPr>
      <w:r w:rsidRPr="00E3237E">
        <w:t xml:space="preserve">Periodic monitoring is specified in Special Term and Condition </w:t>
      </w:r>
      <w:r w:rsidRPr="00E97906">
        <w:t>3</w:t>
      </w:r>
      <w:r>
        <w:t xml:space="preserve"> </w:t>
      </w:r>
      <w:r w:rsidRPr="00E3237E">
        <w:t>for stationary vents subject to 30 TAC § 111.111(a)(1)(B) to verify compliance with the 20% opacity limit.  These vents are not expected to produce visible emissions during normal operation.  The TCEQ evaluated the probability of these sources violating the opacity standards and determined that there is a very low potential that an opacity standard would be exceeded.  It was determined that continuous monitoring for these sources is not warranted as there would be very limited environmental benefit in continuously monitoring sources that have a low potential to produce visible emissions.  Therefore, the TCEQ set the visible observation monitoring frequency for these sources to once per calendar quarter.</w:t>
      </w:r>
    </w:p>
    <w:p w:rsidR="00D44F0E" w:rsidRPr="00E3237E" w:rsidRDefault="00D44F0E" w:rsidP="00D44F0E">
      <w:pPr>
        <w:spacing w:after="240"/>
      </w:pPr>
      <w:r w:rsidRPr="00E3237E">
        <w:t xml:space="preserve">The TCEQ has exempted vents that are not capable of producing visible emissions from periodic monitoring requirements.  These </w:t>
      </w:r>
      <w:proofErr w:type="spellStart"/>
      <w:r w:rsidRPr="00E3237E">
        <w:t>vents</w:t>
      </w:r>
      <w:proofErr w:type="spellEnd"/>
      <w:r w:rsidRPr="00E3237E">
        <w:t xml:space="preserve"> include sources of colorless VOCs, non-fuming liquids, and other materials that cannot produce emissions that obstruct the transmission of light.  Passive ventilation vents, such as plumbing vents, are also included in this category.  Since this category of vents are not capable of producing opacity due to the physical or chemical characteristics of the emission source, periodic monitoring is not required as it would not yield any additional data to assure compliance with the 20% opacity standard of 30 TAC § 111.111(a)(1)(B).</w:t>
      </w:r>
    </w:p>
    <w:p w:rsidR="00D44F0E" w:rsidRPr="00E3237E" w:rsidRDefault="00D44F0E" w:rsidP="00D44F0E">
      <w:pPr>
        <w:spacing w:after="240"/>
      </w:pPr>
      <w:r w:rsidRPr="00E3237E">
        <w:t xml:space="preserve">In the event that visible emissions are detected, either through the quarterly observation or other credible evidence, such as observations from company personnel, the permit holder shall either report a deviation or perform a Test Method 9 observation to determine the opacity consistent with the 6-minute averaging time specified in 30 TAC § 111.111(a)(1)(B).  </w:t>
      </w:r>
      <w:r w:rsidRPr="00E3237E">
        <w:lastRenderedPageBreak/>
        <w:t>An additional provision is included to monitor combustion sources more frequently than quarterly if alternate fuels are burned for periods greater than 24 consecutive hours.  This will address possible emissions that may arise when switching fuel types.</w:t>
      </w:r>
    </w:p>
    <w:p w:rsidR="00D44F0E" w:rsidRPr="00E3237E" w:rsidRDefault="00D44F0E" w:rsidP="00D44F0E">
      <w:pPr>
        <w:keepNext/>
        <w:spacing w:after="240"/>
        <w:outlineLvl w:val="0"/>
        <w:rPr>
          <w:b/>
          <w:bCs/>
        </w:rPr>
      </w:pPr>
      <w:r w:rsidRPr="00E3237E">
        <w:rPr>
          <w:b/>
          <w:bCs/>
        </w:rPr>
        <w:t>Stationary Vents subject to 30 TAC Chapter 111 not addressed in the Special Terms and Conditions</w:t>
      </w:r>
    </w:p>
    <w:p w:rsidR="00D44F0E" w:rsidRPr="00E3237E" w:rsidRDefault="00D44F0E" w:rsidP="00D44F0E">
      <w:pPr>
        <w:keepLines/>
        <w:spacing w:after="240"/>
      </w:pPr>
      <w:r w:rsidRPr="00E3237E">
        <w:t>All other stationary vents subject to 30 TAC Chapter 111 not covered in the Special Terms and Conditions are listed in the permit</w:t>
      </w:r>
      <w:r w:rsidR="003C1FA9">
        <w:t>’</w:t>
      </w:r>
      <w:r w:rsidRPr="00E3237E">
        <w:t>s Applicable Requirement Summary.  The basis for the applicability determinations for these vents are listed in the Determination of Applicable Requirements table.</w:t>
      </w:r>
    </w:p>
    <w:p w:rsidR="0081330B" w:rsidRPr="00D760B9" w:rsidRDefault="0081330B" w:rsidP="00A407FC">
      <w:pPr>
        <w:keepNext/>
        <w:numPr>
          <w:ilvl w:val="12"/>
          <w:numId w:val="0"/>
        </w:numPr>
        <w:spacing w:after="240"/>
        <w:outlineLvl w:val="0"/>
        <w:rPr>
          <w:rStyle w:val="Strong"/>
        </w:rPr>
      </w:pPr>
      <w:r w:rsidRPr="00D760B9">
        <w:rPr>
          <w:rStyle w:val="Strong"/>
        </w:rPr>
        <w:t>F</w:t>
      </w:r>
      <w:r w:rsidR="00D760B9" w:rsidRPr="00D760B9">
        <w:rPr>
          <w:rStyle w:val="Strong"/>
        </w:rPr>
        <w:t>ederal</w:t>
      </w:r>
      <w:r w:rsidRPr="00D760B9">
        <w:rPr>
          <w:rStyle w:val="Strong"/>
        </w:rPr>
        <w:t xml:space="preserve"> R</w:t>
      </w:r>
      <w:r w:rsidR="00D760B9" w:rsidRPr="00D760B9">
        <w:rPr>
          <w:rStyle w:val="Strong"/>
        </w:rPr>
        <w:t>egulatory</w:t>
      </w:r>
      <w:r w:rsidRPr="00D760B9">
        <w:rPr>
          <w:rStyle w:val="Strong"/>
        </w:rPr>
        <w:t xml:space="preserve"> A</w:t>
      </w:r>
      <w:r w:rsidR="00D760B9" w:rsidRPr="00D760B9">
        <w:rPr>
          <w:rStyle w:val="Strong"/>
        </w:rPr>
        <w:t>pplicability</w:t>
      </w:r>
      <w:r w:rsidRPr="00D760B9">
        <w:rPr>
          <w:rStyle w:val="Strong"/>
        </w:rPr>
        <w:t xml:space="preserve"> D</w:t>
      </w:r>
      <w:r w:rsidR="00D760B9" w:rsidRPr="00D760B9">
        <w:rPr>
          <w:rStyle w:val="Strong"/>
        </w:rPr>
        <w:t>eterminations</w:t>
      </w:r>
    </w:p>
    <w:p w:rsidR="0081330B" w:rsidRDefault="0081330B" w:rsidP="00A407FC">
      <w:pPr>
        <w:numPr>
          <w:ilvl w:val="12"/>
          <w:numId w:val="0"/>
        </w:numPr>
        <w:spacing w:after="240"/>
      </w:pPr>
      <w:r>
        <w:t>The following chart summarizes the applicability of the principal air pollution regulatory programs to the permit area:</w:t>
      </w:r>
    </w:p>
    <w:tbl>
      <w:tblPr>
        <w:tblW w:w="0" w:type="auto"/>
        <w:jc w:val="center"/>
        <w:tblLayout w:type="fixed"/>
        <w:tblCellMar>
          <w:top w:w="58" w:type="dxa"/>
          <w:left w:w="62" w:type="dxa"/>
          <w:bottom w:w="58" w:type="dxa"/>
          <w:right w:w="62" w:type="dxa"/>
        </w:tblCellMar>
        <w:tblLook w:val="0000" w:firstRow="0" w:lastRow="0" w:firstColumn="0" w:lastColumn="0" w:noHBand="0" w:noVBand="0"/>
        <w:tblCaption w:val="applicability of the principal air pollution regulatory programs"/>
        <w:tblDescription w:val="applicability of the principal air pollution regulatory programs"/>
      </w:tblPr>
      <w:tblGrid>
        <w:gridCol w:w="5490"/>
        <w:gridCol w:w="1890"/>
      </w:tblGrid>
      <w:tr w:rsidR="0081330B" w:rsidTr="000016AC">
        <w:trPr>
          <w:tblHeader/>
          <w:jc w:val="center"/>
        </w:trPr>
        <w:tc>
          <w:tcPr>
            <w:tcW w:w="5490" w:type="dxa"/>
            <w:tcBorders>
              <w:top w:val="double" w:sz="9" w:space="0" w:color="000000"/>
              <w:left w:val="double" w:sz="9" w:space="0" w:color="000000"/>
              <w:bottom w:val="nil"/>
              <w:right w:val="nil"/>
            </w:tcBorders>
            <w:shd w:val="pct10" w:color="000000" w:fill="FFFFFF"/>
            <w:vAlign w:val="center"/>
          </w:tcPr>
          <w:p w:rsidR="0081330B" w:rsidRPr="00DE1959" w:rsidRDefault="0081330B" w:rsidP="00DE1959">
            <w:pPr>
              <w:numPr>
                <w:ilvl w:val="12"/>
                <w:numId w:val="0"/>
              </w:numPr>
              <w:spacing w:before="96" w:after="51"/>
              <w:jc w:val="center"/>
              <w:rPr>
                <w:rStyle w:val="Strong"/>
              </w:rPr>
            </w:pPr>
            <w:r w:rsidRPr="00DE1959">
              <w:rPr>
                <w:rStyle w:val="Strong"/>
              </w:rPr>
              <w:t>Regulatory Program</w:t>
            </w:r>
          </w:p>
        </w:tc>
        <w:tc>
          <w:tcPr>
            <w:tcW w:w="1890" w:type="dxa"/>
            <w:tcBorders>
              <w:top w:val="double" w:sz="9" w:space="0" w:color="000000"/>
              <w:left w:val="single" w:sz="6" w:space="0" w:color="000000"/>
              <w:bottom w:val="nil"/>
              <w:right w:val="double" w:sz="9" w:space="0" w:color="000000"/>
            </w:tcBorders>
            <w:shd w:val="pct10" w:color="000000" w:fill="FFFFFF"/>
          </w:tcPr>
          <w:p w:rsidR="0081330B" w:rsidRPr="00DE1959" w:rsidRDefault="0081330B" w:rsidP="00DE1959">
            <w:pPr>
              <w:numPr>
                <w:ilvl w:val="12"/>
                <w:numId w:val="0"/>
              </w:numPr>
              <w:spacing w:before="96" w:after="51"/>
              <w:jc w:val="center"/>
              <w:rPr>
                <w:rStyle w:val="Strong"/>
              </w:rPr>
            </w:pPr>
            <w:r w:rsidRPr="00DE1959">
              <w:rPr>
                <w:rStyle w:val="Strong"/>
              </w:rPr>
              <w:t>Applicability (Yes/No)</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Prevention of Significant Deterioration (PSD)</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Nonattainment New Source Review (NNSR)</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No</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F8374E"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Minor</w:t>
            </w:r>
            <w:r w:rsidR="0081330B">
              <w:t xml:space="preserve"> NSR</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60 - New Source Performance Standards</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61 - National Emission Standards for Hazardous Air Pollutants (NESHAPs)</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63 - NESHAPs for Source Categories</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IV (Acid Rain) of the Clean Air Act (CAA)</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No</w:t>
            </w:r>
          </w:p>
        </w:tc>
      </w:tr>
      <w:tr w:rsidR="0081330B" w:rsidTr="000016AC">
        <w:trPr>
          <w:jc w:val="center"/>
        </w:trPr>
        <w:tc>
          <w:tcPr>
            <w:tcW w:w="5490" w:type="dxa"/>
            <w:tcBorders>
              <w:top w:val="single" w:sz="6" w:space="0" w:color="000000"/>
              <w:left w:val="double" w:sz="9" w:space="0" w:color="000000"/>
              <w:bottom w:val="nil"/>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V (Federal Operating Permits) of the CAA</w:t>
            </w:r>
          </w:p>
        </w:tc>
        <w:tc>
          <w:tcPr>
            <w:tcW w:w="1890" w:type="dxa"/>
            <w:tcBorders>
              <w:top w:val="single" w:sz="6" w:space="0" w:color="000000"/>
              <w:left w:val="single" w:sz="6" w:space="0" w:color="000000"/>
              <w:bottom w:val="nil"/>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81330B" w:rsidTr="000016AC">
        <w:trPr>
          <w:jc w:val="center"/>
        </w:trPr>
        <w:tc>
          <w:tcPr>
            <w:tcW w:w="5490" w:type="dxa"/>
            <w:tcBorders>
              <w:top w:val="single" w:sz="6" w:space="0" w:color="000000"/>
              <w:left w:val="double" w:sz="9" w:space="0" w:color="000000"/>
              <w:bottom w:val="single" w:sz="6" w:space="0" w:color="000000"/>
              <w:right w:val="nil"/>
            </w:tcBorders>
          </w:tcPr>
          <w:p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VI (Stratospheric Ozone Protection) of the CAA</w:t>
            </w:r>
          </w:p>
        </w:tc>
        <w:tc>
          <w:tcPr>
            <w:tcW w:w="1890" w:type="dxa"/>
            <w:tcBorders>
              <w:top w:val="single" w:sz="6" w:space="0" w:color="000000"/>
              <w:left w:val="single" w:sz="6" w:space="0" w:color="000000"/>
              <w:bottom w:val="single" w:sz="6" w:space="0" w:color="000000"/>
              <w:right w:val="double" w:sz="9" w:space="0" w:color="000000"/>
            </w:tcBorders>
          </w:tcPr>
          <w:p w:rsidR="0081330B" w:rsidRDefault="003C1FA9" w:rsidP="0081330B">
            <w:pPr>
              <w:numPr>
                <w:ilvl w:val="12"/>
                <w:numId w:val="0"/>
              </w:numPr>
              <w:tabs>
                <w:tab w:val="left" w:pos="0"/>
                <w:tab w:val="left" w:pos="720"/>
                <w:tab w:val="left" w:pos="1440"/>
              </w:tabs>
              <w:spacing w:before="96" w:after="51"/>
              <w:jc w:val="center"/>
            </w:pPr>
            <w:r>
              <w:t>Yes</w:t>
            </w:r>
          </w:p>
        </w:tc>
      </w:tr>
      <w:tr w:rsidR="007A4B5D" w:rsidTr="00AB0DBB">
        <w:trPr>
          <w:jc w:val="center"/>
        </w:trPr>
        <w:tc>
          <w:tcPr>
            <w:tcW w:w="5490" w:type="dxa"/>
            <w:tcBorders>
              <w:top w:val="single" w:sz="6" w:space="0" w:color="000000"/>
              <w:left w:val="double" w:sz="9" w:space="0" w:color="000000"/>
              <w:bottom w:val="single" w:sz="6" w:space="0" w:color="000000"/>
              <w:right w:val="nil"/>
            </w:tcBorders>
          </w:tcPr>
          <w:p w:rsidR="007A4B5D" w:rsidRDefault="007A4B5D" w:rsidP="00192B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C</w:t>
            </w:r>
            <w:r w:rsidR="00192BFB">
              <w:t>SAPR</w:t>
            </w:r>
            <w:r>
              <w:t xml:space="preserve"> (</w:t>
            </w:r>
            <w:r w:rsidR="00192BFB">
              <w:t>C</w:t>
            </w:r>
            <w:r w:rsidR="004F4907">
              <w:t>ross-</w:t>
            </w:r>
            <w:r w:rsidR="00192BFB">
              <w:t>State Air Pollution Rule</w:t>
            </w:r>
            <w:r>
              <w:t>)</w:t>
            </w:r>
          </w:p>
        </w:tc>
        <w:tc>
          <w:tcPr>
            <w:tcW w:w="1890" w:type="dxa"/>
            <w:tcBorders>
              <w:top w:val="single" w:sz="6" w:space="0" w:color="000000"/>
              <w:left w:val="single" w:sz="6" w:space="0" w:color="000000"/>
              <w:bottom w:val="single" w:sz="6" w:space="0" w:color="000000"/>
              <w:right w:val="double" w:sz="9" w:space="0" w:color="000000"/>
            </w:tcBorders>
          </w:tcPr>
          <w:p w:rsidR="007A4B5D" w:rsidRDefault="003C1FA9" w:rsidP="00B07053">
            <w:pPr>
              <w:numPr>
                <w:ilvl w:val="12"/>
                <w:numId w:val="0"/>
              </w:numPr>
              <w:tabs>
                <w:tab w:val="left" w:pos="0"/>
                <w:tab w:val="left" w:pos="720"/>
                <w:tab w:val="left" w:pos="1440"/>
              </w:tabs>
              <w:spacing w:before="96" w:after="51"/>
              <w:jc w:val="center"/>
            </w:pPr>
            <w:r>
              <w:t>No</w:t>
            </w:r>
          </w:p>
        </w:tc>
      </w:tr>
      <w:tr w:rsidR="00AB0DBB" w:rsidTr="000016AC">
        <w:trPr>
          <w:jc w:val="center"/>
        </w:trPr>
        <w:tc>
          <w:tcPr>
            <w:tcW w:w="5490" w:type="dxa"/>
            <w:tcBorders>
              <w:top w:val="single" w:sz="6" w:space="0" w:color="000000"/>
              <w:left w:val="double" w:sz="9" w:space="0" w:color="000000"/>
              <w:bottom w:val="double" w:sz="9" w:space="0" w:color="000000"/>
              <w:right w:val="nil"/>
            </w:tcBorders>
          </w:tcPr>
          <w:p w:rsidR="00AB0DBB" w:rsidRDefault="00AB0DBB" w:rsidP="00192B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Federal Implementation Plan for Regional Haze (Texas SO</w:t>
            </w:r>
            <w:r w:rsidRPr="00AB0DBB">
              <w:rPr>
                <w:vertAlign w:val="subscript"/>
              </w:rPr>
              <w:t>2</w:t>
            </w:r>
            <w:r>
              <w:t xml:space="preserve"> Trading Program)</w:t>
            </w:r>
          </w:p>
        </w:tc>
        <w:tc>
          <w:tcPr>
            <w:tcW w:w="1890" w:type="dxa"/>
            <w:tcBorders>
              <w:top w:val="single" w:sz="6" w:space="0" w:color="000000"/>
              <w:left w:val="single" w:sz="6" w:space="0" w:color="000000"/>
              <w:bottom w:val="double" w:sz="9" w:space="0" w:color="000000"/>
              <w:right w:val="double" w:sz="9" w:space="0" w:color="000000"/>
            </w:tcBorders>
          </w:tcPr>
          <w:p w:rsidR="00AB0DBB" w:rsidRDefault="003C1FA9" w:rsidP="00B07053">
            <w:pPr>
              <w:numPr>
                <w:ilvl w:val="12"/>
                <w:numId w:val="0"/>
              </w:numPr>
              <w:tabs>
                <w:tab w:val="left" w:pos="0"/>
                <w:tab w:val="left" w:pos="720"/>
                <w:tab w:val="left" w:pos="1440"/>
              </w:tabs>
              <w:spacing w:before="96" w:after="51"/>
              <w:jc w:val="center"/>
            </w:pPr>
            <w:r>
              <w:t>No</w:t>
            </w:r>
          </w:p>
        </w:tc>
      </w:tr>
    </w:tbl>
    <w:p w:rsidR="00723ED5" w:rsidRPr="00DE1959" w:rsidRDefault="00723ED5" w:rsidP="00D760B9">
      <w:pPr>
        <w:numPr>
          <w:ilvl w:val="12"/>
          <w:numId w:val="0"/>
        </w:numPr>
        <w:rPr>
          <w:bCs/>
        </w:rPr>
      </w:pPr>
    </w:p>
    <w:p w:rsidR="00723ED5" w:rsidRPr="00D760B9" w:rsidRDefault="00723ED5" w:rsidP="00666E5F">
      <w:pPr>
        <w:keepNext/>
        <w:numPr>
          <w:ilvl w:val="12"/>
          <w:numId w:val="0"/>
        </w:numPr>
        <w:spacing w:after="240"/>
        <w:outlineLvl w:val="0"/>
        <w:rPr>
          <w:rStyle w:val="Strong"/>
        </w:rPr>
      </w:pPr>
      <w:r w:rsidRPr="00D760B9">
        <w:rPr>
          <w:rStyle w:val="Strong"/>
        </w:rPr>
        <w:t>B</w:t>
      </w:r>
      <w:r w:rsidR="00D760B9" w:rsidRPr="00D760B9">
        <w:rPr>
          <w:rStyle w:val="Strong"/>
        </w:rPr>
        <w:t>asis for Applying</w:t>
      </w:r>
      <w:r w:rsidRPr="00D760B9">
        <w:rPr>
          <w:rStyle w:val="Strong"/>
        </w:rPr>
        <w:t xml:space="preserve"> P</w:t>
      </w:r>
      <w:r w:rsidR="00D760B9" w:rsidRPr="00D760B9">
        <w:rPr>
          <w:rStyle w:val="Strong"/>
        </w:rPr>
        <w:t>ermit</w:t>
      </w:r>
      <w:r w:rsidRPr="00D760B9">
        <w:rPr>
          <w:rStyle w:val="Strong"/>
        </w:rPr>
        <w:t xml:space="preserve"> S</w:t>
      </w:r>
      <w:r w:rsidR="00D760B9" w:rsidRPr="00D760B9">
        <w:rPr>
          <w:rStyle w:val="Strong"/>
        </w:rPr>
        <w:t>hields</w:t>
      </w:r>
    </w:p>
    <w:p w:rsidR="00723ED5" w:rsidRDefault="00723ED5" w:rsidP="00666E5F">
      <w:pPr>
        <w:numPr>
          <w:ilvl w:val="12"/>
          <w:numId w:val="0"/>
        </w:numPr>
        <w:spacing w:after="240"/>
      </w:pPr>
      <w:r>
        <w:t xml:space="preserve">An operating permit applicant </w:t>
      </w:r>
      <w:proofErr w:type="gramStart"/>
      <w:r>
        <w:t>has the opportunity to</w:t>
      </w:r>
      <w:proofErr w:type="gramEnd"/>
      <w:r>
        <w:t xml:space="preserve"> specifically request a permit shield to document </w:t>
      </w:r>
      <w:r w:rsidR="00D760B9">
        <w:t>that specific</w:t>
      </w:r>
      <w:r>
        <w:t xml:space="preserve"> applicable requirements do not apply to emission units in the permit.  A permit shield is a special condition stating that compliance with the conditions of the permit shall be deemed compliance with the specified potentially applicable requirements or specified potentially applicable state-only requirements.  A permit shield has been requested </w:t>
      </w:r>
      <w:r w:rsidR="00B614E7" w:rsidRPr="00B614E7">
        <w:t xml:space="preserve">in the application for specific emission units. For the permit shield requests that have been approved, </w:t>
      </w:r>
      <w:r>
        <w:t xml:space="preserve">the basis of determination for regulations that the </w:t>
      </w:r>
      <w:r w:rsidR="007D76DD" w:rsidRPr="007D76DD">
        <w:t xml:space="preserve">owner/operator need </w:t>
      </w:r>
      <w:r>
        <w:t xml:space="preserve">not comply with </w:t>
      </w:r>
      <w:proofErr w:type="gramStart"/>
      <w:r w:rsidR="007D76DD">
        <w:t xml:space="preserve">are </w:t>
      </w:r>
      <w:r>
        <w:t>located in</w:t>
      </w:r>
      <w:proofErr w:type="gramEnd"/>
      <w:r>
        <w:t xml:space="preserve"> the </w:t>
      </w:r>
      <w:r w:rsidR="003C1FA9">
        <w:t>“</w:t>
      </w:r>
      <w:r>
        <w:t>Permit Shield</w:t>
      </w:r>
      <w:r w:rsidR="003C1FA9">
        <w:t>”</w:t>
      </w:r>
      <w:r>
        <w:t xml:space="preserve"> attachment of the permit. </w:t>
      </w:r>
    </w:p>
    <w:p w:rsidR="00723ED5" w:rsidRPr="00DE1959" w:rsidRDefault="00D760B9" w:rsidP="00666E5F">
      <w:pPr>
        <w:keepNext/>
        <w:numPr>
          <w:ilvl w:val="12"/>
          <w:numId w:val="0"/>
        </w:numPr>
        <w:spacing w:after="240"/>
        <w:outlineLvl w:val="0"/>
        <w:rPr>
          <w:rStyle w:val="Strong"/>
        </w:rPr>
      </w:pPr>
      <w:r w:rsidRPr="00DE1959">
        <w:rPr>
          <w:rStyle w:val="Strong"/>
        </w:rPr>
        <w:lastRenderedPageBreak/>
        <w:t>Insignificant Activities</w:t>
      </w:r>
      <w:r w:rsidR="00A364E6">
        <w:rPr>
          <w:rStyle w:val="Strong"/>
        </w:rPr>
        <w:t xml:space="preserve"> and Emission Units</w:t>
      </w:r>
    </w:p>
    <w:p w:rsidR="00723ED5" w:rsidRDefault="00723ED5" w:rsidP="00666E5F">
      <w:pPr>
        <w:numPr>
          <w:ilvl w:val="12"/>
          <w:numId w:val="0"/>
        </w:numPr>
        <w:spacing w:after="240"/>
      </w:pPr>
      <w:r>
        <w:t>In general, units not meeting the criteria for inclusion on either Form OP-SUM or Form OP</w:t>
      </w:r>
      <w:r w:rsidR="008B0FD1">
        <w:t>-</w:t>
      </w:r>
      <w:r>
        <w:t>REQ1 are not required to be addressed in the operating permit application.  Examples of these types of units include, but are not limited to, the following:</w:t>
      </w:r>
    </w:p>
    <w:p w:rsidR="00A364E6" w:rsidRPr="00FD37BF" w:rsidRDefault="00A364E6" w:rsidP="00A364E6">
      <w:pPr>
        <w:numPr>
          <w:ilvl w:val="12"/>
          <w:numId w:val="0"/>
        </w:numPr>
        <w:spacing w:after="240"/>
      </w:pPr>
      <w:r w:rsidRPr="00FD37BF">
        <w:t>De Minimis Sources</w:t>
      </w:r>
    </w:p>
    <w:p w:rsidR="00A364E6" w:rsidRPr="00FD37BF" w:rsidRDefault="00A364E6" w:rsidP="00240F82">
      <w:pPr>
        <w:pStyle w:val="ListParagraph"/>
        <w:numPr>
          <w:ilvl w:val="0"/>
          <w:numId w:val="16"/>
        </w:numPr>
        <w:ind w:hanging="720"/>
      </w:pPr>
      <w:r w:rsidRPr="00FD37BF">
        <w:t xml:space="preserve">Sources identified in the </w:t>
      </w:r>
      <w:r w:rsidR="003C1FA9">
        <w:t>“</w:t>
      </w:r>
      <w:r w:rsidRPr="00FD37BF">
        <w:t>De Minimis Facilities or Sources</w:t>
      </w:r>
      <w:r w:rsidR="003C1FA9">
        <w:t>”</w:t>
      </w:r>
      <w:r w:rsidRPr="00FD37BF">
        <w:t xml:space="preserve"> list maintained by TCEQ.  The list is available at </w:t>
      </w:r>
      <w:hyperlink r:id="rId9" w:history="1">
        <w:r w:rsidR="003C1FA9">
          <w:rPr>
            <w:rStyle w:val="Hyperlink"/>
            <w:u w:val="none"/>
          </w:rPr>
          <w:t>https://www.tceq.texas.gov/permitting/air/newsourcereview/de_minimis.html</w:t>
        </w:r>
      </w:hyperlink>
      <w:r w:rsidRPr="00FD37BF">
        <w:t>.</w:t>
      </w:r>
    </w:p>
    <w:p w:rsidR="00A364E6" w:rsidRPr="00FD37BF" w:rsidRDefault="00A364E6" w:rsidP="00A364E6"/>
    <w:p w:rsidR="00A364E6" w:rsidRPr="00FD37BF" w:rsidRDefault="00A364E6" w:rsidP="00A364E6">
      <w:r w:rsidRPr="00FD37BF">
        <w:t>Miscellaneous Sources</w:t>
      </w:r>
    </w:p>
    <w:p w:rsidR="00240F82" w:rsidRDefault="00240F82" w:rsidP="00240F82">
      <w:pPr>
        <w:pStyle w:val="ListParagraph"/>
      </w:pPr>
    </w:p>
    <w:p w:rsidR="00A364E6" w:rsidRDefault="00A364E6" w:rsidP="00A364E6">
      <w:pPr>
        <w:pStyle w:val="ListParagraph"/>
        <w:numPr>
          <w:ilvl w:val="0"/>
          <w:numId w:val="16"/>
        </w:numPr>
        <w:ind w:hanging="720"/>
      </w:pPr>
      <w:r w:rsidRPr="00D20B7E">
        <w:t>Office activities such as photocopying, blueprint copying, and photographic processes.</w:t>
      </w:r>
    </w:p>
    <w:p w:rsidR="00A364E6" w:rsidRPr="00D20B7E" w:rsidRDefault="00A364E6" w:rsidP="00A364E6">
      <w:pPr>
        <w:pStyle w:val="ListParagraph"/>
        <w:numPr>
          <w:ilvl w:val="0"/>
          <w:numId w:val="16"/>
        </w:numPr>
        <w:ind w:hanging="720"/>
      </w:pPr>
      <w:r w:rsidRPr="00D20B7E">
        <w:t>Outdoor barbecue pits, campfires, and fireplaces.</w:t>
      </w:r>
    </w:p>
    <w:p w:rsidR="00A364E6" w:rsidRPr="002B2351" w:rsidRDefault="00A364E6" w:rsidP="00A364E6">
      <w:pPr>
        <w:pStyle w:val="ListParagraph"/>
        <w:numPr>
          <w:ilvl w:val="0"/>
          <w:numId w:val="16"/>
        </w:numPr>
        <w:ind w:hanging="720"/>
      </w:pPr>
      <w:r w:rsidRPr="002B2351">
        <w:t>Storage and handling of sealed portable containers, cylinders, or sealed drums.</w:t>
      </w:r>
    </w:p>
    <w:p w:rsidR="00A364E6" w:rsidRPr="002B2351" w:rsidRDefault="00A364E6" w:rsidP="00A364E6">
      <w:pPr>
        <w:pStyle w:val="ListParagraph"/>
        <w:numPr>
          <w:ilvl w:val="0"/>
          <w:numId w:val="16"/>
        </w:numPr>
        <w:ind w:hanging="720"/>
      </w:pPr>
      <w:r w:rsidRPr="002B2351">
        <w:t>Vehicle exhaust from maintenance or repair shops.</w:t>
      </w:r>
    </w:p>
    <w:p w:rsidR="00A364E6" w:rsidRPr="002B2351" w:rsidRDefault="00A364E6" w:rsidP="00A364E6">
      <w:pPr>
        <w:pStyle w:val="ListParagraph"/>
        <w:numPr>
          <w:ilvl w:val="0"/>
          <w:numId w:val="16"/>
        </w:numPr>
        <w:ind w:hanging="720"/>
      </w:pPr>
      <w:r w:rsidRPr="002B2351">
        <w:t>Storage and use of non-VOC products or equipment for maintaining motor vehicles operated at the site (including but not limited to, antifreeze and fuel additives).</w:t>
      </w:r>
    </w:p>
    <w:p w:rsidR="00A364E6" w:rsidRPr="002B2351" w:rsidRDefault="00A364E6" w:rsidP="00A364E6">
      <w:pPr>
        <w:pStyle w:val="ListParagraph"/>
        <w:numPr>
          <w:ilvl w:val="0"/>
          <w:numId w:val="16"/>
        </w:numPr>
        <w:ind w:hanging="720"/>
      </w:pPr>
      <w:r w:rsidRPr="002B2351">
        <w:t>Air contaminant detectors and recorders, combustion controllers and shut-off devices, product analyzers, laboratory analyzers, continuous emissions monitors, other analyzers and monitors, and emissions associated with sampling activities. Exception to this category includes sampling activities that are deemed fugitive emissions and under a regulatory leak detection and repair program.</w:t>
      </w:r>
    </w:p>
    <w:p w:rsidR="00A364E6" w:rsidRPr="002B2351" w:rsidRDefault="00A364E6" w:rsidP="00A364E6">
      <w:pPr>
        <w:pStyle w:val="ListParagraph"/>
        <w:numPr>
          <w:ilvl w:val="0"/>
          <w:numId w:val="16"/>
        </w:numPr>
        <w:ind w:hanging="720"/>
      </w:pPr>
      <w:r w:rsidRPr="002B2351">
        <w:t>Steam vents, steam leaks, and steam safety relief valves, provided the steam (or boiler feedwater) has not contacted other materials or fluids containing regulated air pollutants other than boiler water treatment chemicals.</w:t>
      </w:r>
    </w:p>
    <w:p w:rsidR="00A364E6" w:rsidRPr="002B2351" w:rsidRDefault="00A364E6" w:rsidP="00A364E6">
      <w:pPr>
        <w:pStyle w:val="ListParagraph"/>
        <w:numPr>
          <w:ilvl w:val="0"/>
          <w:numId w:val="16"/>
        </w:numPr>
        <w:ind w:hanging="720"/>
      </w:pPr>
      <w:r w:rsidRPr="002B2351">
        <w:t>Storage of water that has not contacted other materials or fluids containing regulated air pollutants other than boiler water treatment chemicals.</w:t>
      </w:r>
    </w:p>
    <w:p w:rsidR="00A364E6" w:rsidRPr="002B2351" w:rsidRDefault="00A364E6" w:rsidP="00A364E6">
      <w:pPr>
        <w:pStyle w:val="ListParagraph"/>
        <w:numPr>
          <w:ilvl w:val="0"/>
          <w:numId w:val="16"/>
        </w:numPr>
        <w:ind w:hanging="720"/>
      </w:pPr>
      <w:r w:rsidRPr="002B2351">
        <w:t>Well cellars.</w:t>
      </w:r>
    </w:p>
    <w:p w:rsidR="00A364E6" w:rsidRPr="002B2351" w:rsidRDefault="00A364E6" w:rsidP="00A364E6">
      <w:pPr>
        <w:pStyle w:val="ListParagraph"/>
        <w:numPr>
          <w:ilvl w:val="0"/>
          <w:numId w:val="16"/>
        </w:numPr>
        <w:ind w:hanging="720"/>
      </w:pPr>
      <w:r w:rsidRPr="002B2351">
        <w:t>Fire or emergency response equipment and training, including but not limited to, use of fire control equipment including equipment testing and training, and open burning of materials or fuels associated with firefighting training.</w:t>
      </w:r>
    </w:p>
    <w:p w:rsidR="00A364E6" w:rsidRPr="002B2351" w:rsidRDefault="00A364E6" w:rsidP="00A364E6">
      <w:pPr>
        <w:pStyle w:val="ListParagraph"/>
        <w:numPr>
          <w:ilvl w:val="0"/>
          <w:numId w:val="16"/>
        </w:numPr>
        <w:ind w:hanging="720"/>
      </w:pPr>
      <w:r w:rsidRPr="002B2351">
        <w:t>Equipment used exclusively for the melting or application of wax.</w:t>
      </w:r>
    </w:p>
    <w:p w:rsidR="00A364E6" w:rsidRPr="002B2351" w:rsidRDefault="00A364E6" w:rsidP="00A364E6">
      <w:pPr>
        <w:pStyle w:val="ListParagraph"/>
        <w:numPr>
          <w:ilvl w:val="0"/>
          <w:numId w:val="16"/>
        </w:numPr>
        <w:ind w:hanging="720"/>
      </w:pPr>
      <w:r w:rsidRPr="002B2351">
        <w:t>Instrument systems utilizing air, natural gas, nitrogen, oxygen, carbon dioxide, helium, neon, argon, krypton, and xenon.</w:t>
      </w:r>
    </w:p>
    <w:p w:rsidR="00A364E6" w:rsidRDefault="00A364E6" w:rsidP="00A364E6">
      <w:pPr>
        <w:pStyle w:val="ListParagraph"/>
        <w:numPr>
          <w:ilvl w:val="0"/>
          <w:numId w:val="16"/>
        </w:numPr>
        <w:ind w:hanging="720"/>
      </w:pPr>
      <w:r w:rsidRPr="002B2351">
        <w:t>Battery recharging areas.</w:t>
      </w:r>
    </w:p>
    <w:p w:rsidR="00A364E6" w:rsidRDefault="00A364E6" w:rsidP="00A364E6"/>
    <w:p w:rsidR="00A364E6" w:rsidRPr="00FD37BF" w:rsidRDefault="00A364E6" w:rsidP="00A364E6">
      <w:r w:rsidRPr="00FD37BF">
        <w:t xml:space="preserve">Sources Authorized by 30 TAC Chapter 106, Permits </w:t>
      </w:r>
      <w:r>
        <w:t>b</w:t>
      </w:r>
      <w:r w:rsidRPr="00FD37BF">
        <w:t>y Rule</w:t>
      </w:r>
    </w:p>
    <w:p w:rsidR="00A364E6" w:rsidRDefault="00A364E6" w:rsidP="00A364E6"/>
    <w:p w:rsidR="00A364E6" w:rsidRPr="00BC66E3" w:rsidRDefault="00A364E6" w:rsidP="00A364E6">
      <w:pPr>
        <w:pStyle w:val="ListParagraph"/>
        <w:numPr>
          <w:ilvl w:val="0"/>
          <w:numId w:val="16"/>
        </w:numPr>
        <w:ind w:hanging="720"/>
      </w:pPr>
      <w:r w:rsidRPr="00BC66E3">
        <w:t>Sources authorized by §106.102: Combustion units designed and used exclusively for comfort heating purposes employing liquid petroleum gas, natural gas, solid wood, or distillate fuel oil.</w:t>
      </w:r>
    </w:p>
    <w:p w:rsidR="00A364E6" w:rsidRPr="00BC66E3" w:rsidRDefault="00A364E6" w:rsidP="00A364E6">
      <w:pPr>
        <w:pStyle w:val="ListParagraph"/>
        <w:numPr>
          <w:ilvl w:val="0"/>
          <w:numId w:val="16"/>
        </w:numPr>
        <w:ind w:hanging="720"/>
      </w:pPr>
      <w:r w:rsidRPr="00BC66E3">
        <w:t>Sources authorized by §106.122: Bench scale laboratory equipment and laboratory equipment used exclusively for chemical and physical analysis, including but not limited to, assorted vacuum producing devices and laboratory fume hoods.</w:t>
      </w:r>
    </w:p>
    <w:p w:rsidR="00A364E6" w:rsidRPr="00BC66E3" w:rsidRDefault="00A364E6" w:rsidP="00A364E6">
      <w:pPr>
        <w:pStyle w:val="ListParagraph"/>
        <w:numPr>
          <w:ilvl w:val="0"/>
          <w:numId w:val="16"/>
        </w:numPr>
        <w:ind w:hanging="720"/>
      </w:pPr>
      <w:r w:rsidRPr="00BC66E3">
        <w:t>Sources authorized by §106.141: Batch mixers with rated capacity of 27 cubic feet or less for mixing cement, sand, aggregate, lime, gypsum, additives, and/or water to produce concrete, grout, stucco, mortar, or other similar products.</w:t>
      </w:r>
    </w:p>
    <w:p w:rsidR="00A364E6" w:rsidRPr="00BC66E3" w:rsidRDefault="00A364E6" w:rsidP="00A364E6">
      <w:pPr>
        <w:pStyle w:val="ListParagraph"/>
        <w:numPr>
          <w:ilvl w:val="0"/>
          <w:numId w:val="16"/>
        </w:numPr>
        <w:ind w:hanging="720"/>
      </w:pPr>
      <w:r w:rsidRPr="00BC66E3">
        <w:t>Sources authorized by §106.143: Wet sand and gravel production facilities that obtain material from subterranean and subaqueous beds where the deposits of sand and gravel are consolidated granular materials resulting from natural disintegration of rock and stone and have a production rate of 500 tons per hour or less.</w:t>
      </w:r>
    </w:p>
    <w:p w:rsidR="00A364E6" w:rsidRPr="00BC66E3" w:rsidRDefault="00A364E6" w:rsidP="00A364E6">
      <w:pPr>
        <w:pStyle w:val="ListParagraph"/>
        <w:numPr>
          <w:ilvl w:val="0"/>
          <w:numId w:val="16"/>
        </w:numPr>
        <w:ind w:hanging="720"/>
      </w:pPr>
      <w:r w:rsidRPr="00BC66E3">
        <w:t>Sources authorized by §106.148: Railcar or truck unloading of wet sand, gravel, aggregate, coal, lignite, and scrap iron or scrap steel (but not including metal ores, metal oxides, battery parts, or fine dry materials) into trucks or other railcars for transportation to other locations.</w:t>
      </w:r>
    </w:p>
    <w:p w:rsidR="00A364E6" w:rsidRPr="00657132" w:rsidRDefault="00A364E6" w:rsidP="00A364E6">
      <w:pPr>
        <w:pStyle w:val="ListParagraph"/>
        <w:numPr>
          <w:ilvl w:val="0"/>
          <w:numId w:val="16"/>
        </w:numPr>
        <w:ind w:hanging="720"/>
      </w:pPr>
      <w:r w:rsidRPr="00BC66E3">
        <w:t xml:space="preserve">Sources authorized by §106.149: Sand and gravel production facilities that obtain material from deposits of sand and gravel consisting of natural disintegration of rock and stone, provided that crushing or breaking operations are </w:t>
      </w:r>
      <w:r w:rsidRPr="00657132">
        <w:t xml:space="preserve">not </w:t>
      </w:r>
      <w:proofErr w:type="gramStart"/>
      <w:r w:rsidRPr="00657132">
        <w:t>used</w:t>
      </w:r>
      <w:proofErr w:type="gramEnd"/>
      <w:r w:rsidRPr="00657132">
        <w:t xml:space="preserve"> and no blasting is conducted to obtain the material.</w:t>
      </w:r>
    </w:p>
    <w:p w:rsidR="00A364E6" w:rsidRPr="00BC66E3" w:rsidRDefault="00A364E6" w:rsidP="00A364E6">
      <w:pPr>
        <w:pStyle w:val="ListParagraph"/>
        <w:numPr>
          <w:ilvl w:val="0"/>
          <w:numId w:val="16"/>
        </w:numPr>
        <w:ind w:hanging="720"/>
      </w:pPr>
      <w:r w:rsidRPr="00BC66E3">
        <w:lastRenderedPageBreak/>
        <w:t>Sources authorized by §106.161: Animal feeding operations which confine animals in numbers specified and any associated on-site feed handling and/or feed millings operations, not including caged laying and caged pullet operations.</w:t>
      </w:r>
    </w:p>
    <w:p w:rsidR="00A364E6" w:rsidRPr="00BC66E3" w:rsidRDefault="00A364E6" w:rsidP="00A364E6">
      <w:pPr>
        <w:pStyle w:val="ListParagraph"/>
        <w:numPr>
          <w:ilvl w:val="0"/>
          <w:numId w:val="16"/>
        </w:numPr>
        <w:ind w:hanging="720"/>
      </w:pPr>
      <w:r w:rsidRPr="00BC66E3">
        <w:t>Sources authorized by §106.162: Livestock auction sales facilities.</w:t>
      </w:r>
    </w:p>
    <w:p w:rsidR="00A364E6" w:rsidRPr="00BC66E3" w:rsidRDefault="00A364E6" w:rsidP="00A364E6">
      <w:pPr>
        <w:pStyle w:val="ListParagraph"/>
        <w:numPr>
          <w:ilvl w:val="0"/>
          <w:numId w:val="16"/>
        </w:numPr>
        <w:ind w:hanging="720"/>
      </w:pPr>
      <w:r w:rsidRPr="00BC66E3">
        <w:t>Sources authorized by §106.163: All animal racing facilities, domestic animal shelters, zoos, and their associated confinement areas, stables, feeding areas, and waste collection and treatment facilities, other than incineration units.</w:t>
      </w:r>
    </w:p>
    <w:p w:rsidR="00A364E6" w:rsidRPr="00BC66E3" w:rsidRDefault="00A364E6" w:rsidP="00A364E6">
      <w:pPr>
        <w:pStyle w:val="ListParagraph"/>
        <w:numPr>
          <w:ilvl w:val="0"/>
          <w:numId w:val="16"/>
        </w:numPr>
        <w:ind w:hanging="720"/>
      </w:pPr>
      <w:r w:rsidRPr="00BC66E3">
        <w:t>Sources authorized by §106.229: Equipment used exclusively for the dyeing or stripping of textiles.</w:t>
      </w:r>
    </w:p>
    <w:p w:rsidR="00A364E6" w:rsidRPr="00BC66E3" w:rsidRDefault="00A364E6" w:rsidP="00A364E6">
      <w:pPr>
        <w:pStyle w:val="ListParagraph"/>
        <w:numPr>
          <w:ilvl w:val="0"/>
          <w:numId w:val="16"/>
        </w:numPr>
        <w:ind w:hanging="720"/>
      </w:pPr>
      <w:r w:rsidRPr="00BC66E3">
        <w:t>Sources authorized by §106.241: Any facility where animals or poultry are slaughtered and prepared for human consumption provided that waste products such as blood, offal, and feathers are stored in such a manner as to prevent the creation of a nuisance condition and these waste products are removed from the premises daily or stored under refrigeration.</w:t>
      </w:r>
    </w:p>
    <w:p w:rsidR="00A364E6" w:rsidRPr="00D0233D" w:rsidRDefault="00A364E6" w:rsidP="00A364E6">
      <w:pPr>
        <w:pStyle w:val="ListParagraph"/>
        <w:numPr>
          <w:ilvl w:val="0"/>
          <w:numId w:val="16"/>
        </w:numPr>
        <w:ind w:hanging="720"/>
      </w:pPr>
      <w:r w:rsidRPr="00D0233D">
        <w:t xml:space="preserve">Sources authorized by §106.242: </w:t>
      </w:r>
      <w:r>
        <w:t>Equipment used in eating establishments for the purpose of preparing food for human consumption.</w:t>
      </w:r>
    </w:p>
    <w:p w:rsidR="00A364E6" w:rsidRPr="00BC66E3" w:rsidRDefault="00A364E6" w:rsidP="00A364E6">
      <w:pPr>
        <w:pStyle w:val="ListParagraph"/>
        <w:numPr>
          <w:ilvl w:val="0"/>
          <w:numId w:val="16"/>
        </w:numPr>
        <w:ind w:hanging="720"/>
      </w:pPr>
      <w:r w:rsidRPr="00BC66E3">
        <w:t>Sources authorized by §106.243: Smokehouses in which the maximum horizontal inside cross-sectional area does not exceed 100 square feet.</w:t>
      </w:r>
    </w:p>
    <w:p w:rsidR="00A364E6" w:rsidRPr="00BC66E3" w:rsidRDefault="00A364E6" w:rsidP="00A364E6">
      <w:pPr>
        <w:pStyle w:val="ListParagraph"/>
        <w:numPr>
          <w:ilvl w:val="0"/>
          <w:numId w:val="16"/>
        </w:numPr>
        <w:ind w:hanging="720"/>
      </w:pPr>
      <w:r w:rsidRPr="00BC66E3">
        <w:t>Sources authorized by §106.244: Ovens, mixers, blenders, barbecue pits, and cookers if the products are edible and intended for human consumption.</w:t>
      </w:r>
    </w:p>
    <w:p w:rsidR="00A364E6" w:rsidRPr="00657132" w:rsidRDefault="00A364E6" w:rsidP="00A364E6">
      <w:pPr>
        <w:pStyle w:val="ListParagraph"/>
        <w:numPr>
          <w:ilvl w:val="0"/>
          <w:numId w:val="16"/>
        </w:numPr>
        <w:ind w:hanging="720"/>
      </w:pPr>
      <w:r w:rsidRPr="00657132">
        <w:t>Sources authorized by §106.266: Vacuum cleaning systems used exclusively for industrial, commercial, or residential housekeeping purposes.</w:t>
      </w:r>
    </w:p>
    <w:p w:rsidR="00A364E6" w:rsidRPr="00657132" w:rsidRDefault="00A364E6" w:rsidP="00A364E6">
      <w:pPr>
        <w:pStyle w:val="ListParagraph"/>
        <w:numPr>
          <w:ilvl w:val="0"/>
          <w:numId w:val="16"/>
        </w:numPr>
        <w:ind w:hanging="720"/>
      </w:pPr>
      <w:r w:rsidRPr="00657132">
        <w:t>Sources authorized by §106.301: Aqueous fertilizer storage tanks.</w:t>
      </w:r>
    </w:p>
    <w:p w:rsidR="00A364E6" w:rsidRPr="00657132" w:rsidRDefault="00A364E6" w:rsidP="00A364E6">
      <w:pPr>
        <w:pStyle w:val="ListParagraph"/>
        <w:numPr>
          <w:ilvl w:val="0"/>
          <w:numId w:val="16"/>
        </w:numPr>
        <w:ind w:hanging="720"/>
      </w:pPr>
      <w:r w:rsidRPr="00657132">
        <w:t>Sources authorized by §106.313: All closed tumblers used for the cleaning or deburring of metal products without abrasive blasting, and all open tumblers with a batch capacity of 1,000 lbs. or less.</w:t>
      </w:r>
    </w:p>
    <w:p w:rsidR="00A364E6" w:rsidRPr="00657132" w:rsidRDefault="00A364E6" w:rsidP="00A364E6">
      <w:pPr>
        <w:pStyle w:val="ListParagraph"/>
        <w:numPr>
          <w:ilvl w:val="0"/>
          <w:numId w:val="16"/>
        </w:numPr>
        <w:ind w:hanging="720"/>
      </w:pPr>
      <w:r w:rsidRPr="00657132">
        <w:t>Sources authorized by §106.316: Equipment used for inspection of metal products.</w:t>
      </w:r>
    </w:p>
    <w:p w:rsidR="00A364E6" w:rsidRPr="00657132" w:rsidRDefault="00A364E6" w:rsidP="00A364E6">
      <w:pPr>
        <w:pStyle w:val="ListParagraph"/>
        <w:numPr>
          <w:ilvl w:val="0"/>
          <w:numId w:val="16"/>
        </w:numPr>
        <w:ind w:hanging="720"/>
      </w:pPr>
      <w:r w:rsidRPr="00657132">
        <w:t>Sources authorized by §106.317: Equipment used exclusively for rolling, forging, pressing, drawing, spinning, or extruding either hot or cold metals by some mechanical means.</w:t>
      </w:r>
    </w:p>
    <w:p w:rsidR="00A364E6" w:rsidRPr="00657132" w:rsidRDefault="00A364E6" w:rsidP="00A364E6">
      <w:pPr>
        <w:pStyle w:val="ListParagraph"/>
        <w:numPr>
          <w:ilvl w:val="0"/>
          <w:numId w:val="16"/>
        </w:numPr>
        <w:ind w:hanging="720"/>
      </w:pPr>
      <w:r w:rsidRPr="00657132">
        <w:t>Sources authorized by §106.318: Die casting machines.</w:t>
      </w:r>
    </w:p>
    <w:p w:rsidR="00A364E6" w:rsidRPr="00657132" w:rsidRDefault="00A364E6" w:rsidP="00A364E6">
      <w:pPr>
        <w:pStyle w:val="ListParagraph"/>
        <w:numPr>
          <w:ilvl w:val="0"/>
          <w:numId w:val="16"/>
        </w:numPr>
        <w:ind w:hanging="720"/>
      </w:pPr>
      <w:r w:rsidRPr="00657132">
        <w:t>Sources authorized by §106.319: Foundry sand mold forming equipment to which no heat is applied.</w:t>
      </w:r>
    </w:p>
    <w:p w:rsidR="00A364E6" w:rsidRPr="00657132" w:rsidRDefault="00A364E6" w:rsidP="00A364E6">
      <w:pPr>
        <w:pStyle w:val="ListParagraph"/>
        <w:numPr>
          <w:ilvl w:val="0"/>
          <w:numId w:val="16"/>
        </w:numPr>
        <w:ind w:hanging="720"/>
      </w:pPr>
      <w:r w:rsidRPr="00657132">
        <w:t>Sources authorized by §106.331: Equipment used exclusively to package pharmaceuticals and cosmetics or to coat pharmaceutical tablets.</w:t>
      </w:r>
    </w:p>
    <w:p w:rsidR="00A364E6" w:rsidRPr="00657132" w:rsidRDefault="00A364E6" w:rsidP="00A364E6">
      <w:pPr>
        <w:pStyle w:val="ListParagraph"/>
        <w:numPr>
          <w:ilvl w:val="0"/>
          <w:numId w:val="16"/>
        </w:numPr>
        <w:ind w:hanging="720"/>
      </w:pPr>
      <w:r w:rsidRPr="00657132">
        <w:t>Sources authorized by §106.333: Equipment used exclusively for the mixing and blending of materials at ambient temperature to make water-based adhesives.</w:t>
      </w:r>
    </w:p>
    <w:p w:rsidR="00A364E6" w:rsidRPr="00657132" w:rsidRDefault="00A364E6" w:rsidP="00A364E6">
      <w:pPr>
        <w:pStyle w:val="ListParagraph"/>
        <w:numPr>
          <w:ilvl w:val="0"/>
          <w:numId w:val="16"/>
        </w:numPr>
        <w:ind w:hanging="720"/>
      </w:pPr>
      <w:r w:rsidRPr="00657132">
        <w:t>Sources authorized by §106.372: Any air separation or other industrial gas production, storage, or packaging facility. Industrial gases, for purposes of this list, include only oxygen, nitrogen, helium, neon, argon, krypton, and xenon.</w:t>
      </w:r>
    </w:p>
    <w:p w:rsidR="00A364E6" w:rsidRPr="00657132" w:rsidRDefault="00A364E6" w:rsidP="00A364E6">
      <w:pPr>
        <w:pStyle w:val="ListParagraph"/>
        <w:numPr>
          <w:ilvl w:val="0"/>
          <w:numId w:val="16"/>
        </w:numPr>
        <w:ind w:hanging="720"/>
      </w:pPr>
      <w:r w:rsidRPr="00657132">
        <w:t>Sources authorized by §106.391: Presses used for the curing of rubber products and plastic products.</w:t>
      </w:r>
    </w:p>
    <w:p w:rsidR="00A364E6" w:rsidRPr="00657132" w:rsidRDefault="00A364E6" w:rsidP="00A364E6">
      <w:pPr>
        <w:pStyle w:val="ListParagraph"/>
        <w:numPr>
          <w:ilvl w:val="0"/>
          <w:numId w:val="16"/>
        </w:numPr>
        <w:ind w:hanging="720"/>
      </w:pPr>
      <w:r w:rsidRPr="00657132">
        <w:t>Sources authorized by §106.394: Equipment used for compression molding and injection molding of plastics.</w:t>
      </w:r>
    </w:p>
    <w:p w:rsidR="00A364E6" w:rsidRPr="00657132" w:rsidRDefault="00A364E6" w:rsidP="00A364E6">
      <w:pPr>
        <w:pStyle w:val="ListParagraph"/>
        <w:numPr>
          <w:ilvl w:val="0"/>
          <w:numId w:val="16"/>
        </w:numPr>
        <w:ind w:hanging="720"/>
      </w:pPr>
      <w:r w:rsidRPr="00657132">
        <w:t>Sources authorized by §106.414: Equipment used exclusively for the packaging of lubricants or greases.</w:t>
      </w:r>
    </w:p>
    <w:p w:rsidR="00A364E6" w:rsidRPr="00657132" w:rsidRDefault="00A364E6" w:rsidP="00A364E6">
      <w:pPr>
        <w:pStyle w:val="ListParagraph"/>
        <w:numPr>
          <w:ilvl w:val="0"/>
          <w:numId w:val="16"/>
        </w:numPr>
        <w:ind w:hanging="720"/>
      </w:pPr>
      <w:r w:rsidRPr="00657132">
        <w:t>Sources authorized by §106.415: Laundry dryers, extractors, and tumblers used for fabrics cleaned with water solutions of bleach or detergents.</w:t>
      </w:r>
    </w:p>
    <w:p w:rsidR="00A364E6" w:rsidRPr="00657132" w:rsidRDefault="00A364E6" w:rsidP="00A364E6">
      <w:pPr>
        <w:pStyle w:val="ListParagraph"/>
        <w:numPr>
          <w:ilvl w:val="0"/>
          <w:numId w:val="16"/>
        </w:numPr>
        <w:ind w:hanging="720"/>
      </w:pPr>
      <w:r w:rsidRPr="00657132">
        <w:t>Sources authorized by §106.431: Equipment used exclusively to mill or grind coatings and molding compounds where all materials charged are in paste form.</w:t>
      </w:r>
    </w:p>
    <w:p w:rsidR="00A364E6" w:rsidRPr="00657132" w:rsidRDefault="00A364E6" w:rsidP="00A364E6">
      <w:pPr>
        <w:pStyle w:val="ListParagraph"/>
        <w:numPr>
          <w:ilvl w:val="0"/>
          <w:numId w:val="16"/>
        </w:numPr>
        <w:ind w:hanging="720"/>
      </w:pPr>
      <w:r w:rsidRPr="00657132">
        <w:t>Sources authorized by §106.432: Containers, reservoirs, or tanks used exclusively for dipping operations for coating objects with oils, waxes, or greases where no organic solvents, diluents, or thinners are used; or dipping operations for applying coatings of natural or synthetic resins which contain no organic solvents.</w:t>
      </w:r>
    </w:p>
    <w:p w:rsidR="00A364E6" w:rsidRPr="00657132" w:rsidRDefault="00A364E6" w:rsidP="00A364E6">
      <w:pPr>
        <w:pStyle w:val="ListParagraph"/>
        <w:numPr>
          <w:ilvl w:val="0"/>
          <w:numId w:val="16"/>
        </w:numPr>
        <w:ind w:hanging="720"/>
      </w:pPr>
      <w:r w:rsidRPr="00657132">
        <w:t>Sources authorized by §106.451: Blast cleaning equipment using a suspension of abrasives in water.</w:t>
      </w:r>
    </w:p>
    <w:p w:rsidR="00A364E6" w:rsidRPr="00657132" w:rsidRDefault="00A364E6" w:rsidP="00A364E6">
      <w:pPr>
        <w:pStyle w:val="ListParagraph"/>
        <w:numPr>
          <w:ilvl w:val="0"/>
          <w:numId w:val="16"/>
        </w:numPr>
        <w:ind w:hanging="720"/>
      </w:pPr>
      <w:r w:rsidRPr="00657132">
        <w:t>Sources authorized by §106.453: Equipment used for washing or drying products fabricated from metal or glass, provided no volatile organic materials are used in the process and no oil or solid fuel is burned.</w:t>
      </w:r>
    </w:p>
    <w:p w:rsidR="00A364E6" w:rsidRPr="00D0233D" w:rsidRDefault="00A364E6" w:rsidP="00A364E6">
      <w:pPr>
        <w:pStyle w:val="ListParagraph"/>
        <w:numPr>
          <w:ilvl w:val="0"/>
          <w:numId w:val="16"/>
        </w:numPr>
        <w:ind w:hanging="720"/>
      </w:pPr>
      <w:r w:rsidRPr="00D0233D">
        <w:t xml:space="preserve">Sources authorized by §106.471: </w:t>
      </w:r>
      <w:r>
        <w:t>Equipment used exclusively to store or hold dry natural gas.</w:t>
      </w:r>
    </w:p>
    <w:p w:rsidR="00A364E6" w:rsidRPr="00D0233D" w:rsidRDefault="00A364E6" w:rsidP="00A364E6">
      <w:pPr>
        <w:pStyle w:val="ListParagraph"/>
        <w:numPr>
          <w:ilvl w:val="0"/>
          <w:numId w:val="16"/>
        </w:numPr>
        <w:spacing w:after="240"/>
        <w:ind w:hanging="720"/>
        <w:rPr>
          <w:iCs/>
        </w:rPr>
      </w:pPr>
      <w:r w:rsidRPr="00D0233D">
        <w:t xml:space="preserve">Sources authorized by §106.531: </w:t>
      </w:r>
      <w:r>
        <w:t>Sewage treatment facilities, excluding combustion or incineration equipment, land farms, or grease trap waste handling or treatment facilities.</w:t>
      </w:r>
    </w:p>
    <w:p w:rsidR="00723ED5" w:rsidRPr="00D760B9" w:rsidRDefault="00723ED5" w:rsidP="00FA7659">
      <w:pPr>
        <w:keepNext/>
        <w:numPr>
          <w:ilvl w:val="12"/>
          <w:numId w:val="0"/>
        </w:numPr>
        <w:spacing w:after="240"/>
        <w:outlineLvl w:val="0"/>
        <w:rPr>
          <w:rStyle w:val="Strong"/>
        </w:rPr>
      </w:pPr>
      <w:r w:rsidRPr="00D760B9">
        <w:rPr>
          <w:rStyle w:val="Strong"/>
        </w:rPr>
        <w:t>D</w:t>
      </w:r>
      <w:r w:rsidR="00D760B9" w:rsidRPr="00D760B9">
        <w:rPr>
          <w:rStyle w:val="Strong"/>
        </w:rPr>
        <w:t>etermination of</w:t>
      </w:r>
      <w:r w:rsidRPr="00D760B9">
        <w:rPr>
          <w:rStyle w:val="Strong"/>
        </w:rPr>
        <w:t xml:space="preserve"> A</w:t>
      </w:r>
      <w:r w:rsidR="00D760B9" w:rsidRPr="00D760B9">
        <w:rPr>
          <w:rStyle w:val="Strong"/>
        </w:rPr>
        <w:t>pplicable</w:t>
      </w:r>
      <w:r w:rsidRPr="00D760B9">
        <w:rPr>
          <w:rStyle w:val="Strong"/>
        </w:rPr>
        <w:t xml:space="preserve"> R</w:t>
      </w:r>
      <w:r w:rsidR="00D760B9" w:rsidRPr="00D760B9">
        <w:rPr>
          <w:rStyle w:val="Strong"/>
        </w:rPr>
        <w:t>equirements</w:t>
      </w:r>
    </w:p>
    <w:p w:rsidR="00723ED5" w:rsidRDefault="00723ED5" w:rsidP="00FA7659">
      <w:pPr>
        <w:numPr>
          <w:ilvl w:val="12"/>
          <w:numId w:val="0"/>
        </w:numPr>
        <w:spacing w:after="240"/>
      </w:pPr>
      <w:r>
        <w:t xml:space="preserve">The tables below include the applicability determinations for the emission units, the index number(s) where applicable, and all relevant unit attribute information used to form the basis of the applicability determination.  The unit attribute </w:t>
      </w:r>
      <w:r>
        <w:lastRenderedPageBreak/>
        <w:t>information is a description of the physical properties of an emission unit which is used to determine the requirements to which the permit holder must comply.  For more information about the descriptions of the unit attributes specific Unit Attribute Forms may be viewed at</w:t>
      </w:r>
      <w:r w:rsidR="00A51EBC">
        <w:t xml:space="preserve"> </w:t>
      </w:r>
      <w:hyperlink r:id="rId10" w:history="1">
        <w:r w:rsidR="003C1FA9">
          <w:rPr>
            <w:rStyle w:val="Hyperlink"/>
            <w:u w:val="none"/>
          </w:rPr>
          <w:t>www.tceq.texas.gov/permitting/air/nav/air_all_ua_forms.html</w:t>
        </w:r>
      </w:hyperlink>
      <w:r w:rsidR="00AE538A">
        <w:t>.</w:t>
      </w:r>
    </w:p>
    <w:p w:rsidR="00723ED5" w:rsidRDefault="00723ED5" w:rsidP="00FA7659">
      <w:pPr>
        <w:numPr>
          <w:ilvl w:val="12"/>
          <w:numId w:val="0"/>
        </w:numPr>
        <w:spacing w:after="240"/>
      </w:pPr>
      <w:r>
        <w:t xml:space="preserve">A list of unit attribute forms is included at the end of this document.  Some examples of unit attributes include construction date; product stored in a tank; boiler fuel type; </w:t>
      </w:r>
      <w:proofErr w:type="gramStart"/>
      <w:r>
        <w:t>etc..</w:t>
      </w:r>
      <w:proofErr w:type="gramEnd"/>
      <w:r>
        <w:t xml:space="preserve">  Generally, multiple attributes are needed to determine the requirements for a given emission unit and index number.  The table below lists these attributes in the column entitled </w:t>
      </w:r>
      <w:r w:rsidR="003C1FA9">
        <w:t>“</w:t>
      </w:r>
      <w:r>
        <w:t>Basis of Determination.</w:t>
      </w:r>
      <w:r w:rsidR="003C1FA9">
        <w:t>”</w:t>
      </w:r>
      <w:r>
        <w:t xml:space="preserve">   Attributes that demonstrate that an applicable requirement applies will be the factual basis for the specific citations in an applicable requirement that apply to a unit for that index number.  The TCEQ Air Permits Division has developed flowcharts for determining applicability of state and federal regulations based on the unit attribute information in a Decision Support System (DSS).  These flowcharts can be accessed via the internet at </w:t>
      </w:r>
      <w:hyperlink r:id="rId11" w:history="1">
        <w:r w:rsidR="003C1FA9">
          <w:rPr>
            <w:rStyle w:val="Hyperlink"/>
            <w:u w:val="none"/>
          </w:rPr>
          <w:t>www.tceq.texas.gov/permitting/air/nav/air_supportsys.html</w:t>
        </w:r>
      </w:hyperlink>
      <w:r>
        <w:t>.  The Air Permits Division staff may also be contacted for assistance at (512) 239-1250.</w:t>
      </w:r>
    </w:p>
    <w:p w:rsidR="00723ED5" w:rsidRDefault="00723ED5" w:rsidP="00FA7659">
      <w:pPr>
        <w:numPr>
          <w:ilvl w:val="12"/>
          <w:numId w:val="0"/>
        </w:numPr>
        <w:spacing w:after="240"/>
      </w:pPr>
      <w:r>
        <w:t>The attributes for each unit and corresponding index number provide the basis for determining the specific legal citations in an applicable requirement that apply, including emission limitations or standards, monitoring, recordkeeping, and reporting.  The rules were found to apply or not apply by using the unit attributes as answers to decision questions found in the flowcharts of the DSS.  Some additional attributes indicate which legal citations of a rule apply. The legal citations that apply to each emission unit may be found in the Applicable Requirements Summary table of the draft permit.  There may be some entries or rows of units and ru</w:t>
      </w:r>
      <w:r w:rsidR="00AE538A">
        <w:t>les not found in the permit, or</w:t>
      </w:r>
      <w:r>
        <w:t xml:space="preserve"> if the permit contains a permit shield, repeated in the permit shield area.  These are sets of attributes that describe negative applicability, or; in other words, the reason why a potentially applicable requirement does not apply.</w:t>
      </w:r>
    </w:p>
    <w:p w:rsidR="00723ED5" w:rsidRDefault="00723ED5" w:rsidP="00FA7659">
      <w:pPr>
        <w:numPr>
          <w:ilvl w:val="12"/>
          <w:numId w:val="0"/>
        </w:numPr>
        <w:spacing w:after="240"/>
      </w:pPr>
      <w:r>
        <w:t xml:space="preserve">If applicability determinations have been made which differ from the available flowcharts, an explanation of the decisions involved in the applicability determination is specified in the column </w:t>
      </w:r>
      <w:r w:rsidR="003C1FA9">
        <w:t>“</w:t>
      </w:r>
      <w:r>
        <w:t>Changes and Exceptions to RRT.</w:t>
      </w:r>
      <w:r w:rsidR="003C1FA9">
        <w:t>”</w:t>
      </w:r>
      <w:r>
        <w:t xml:space="preserve"> If there were no exceptions to the DSS, then this column has been removed.</w:t>
      </w:r>
    </w:p>
    <w:p w:rsidR="00723ED5" w:rsidRDefault="00723ED5" w:rsidP="00FA7659">
      <w:pPr>
        <w:numPr>
          <w:ilvl w:val="12"/>
          <w:numId w:val="0"/>
        </w:numPr>
        <w:spacing w:after="240"/>
      </w:pPr>
      <w:r>
        <w:t xml:space="preserve">The draft permit includes all emission limitations or standards, monitoring, recordkeeping and reporting required by each applicable requirement.  If an applicable requirement does not require monitoring, recordkeeping, or reporting, the word </w:t>
      </w:r>
      <w:r w:rsidR="003C1FA9">
        <w:t>“</w:t>
      </w:r>
      <w:r>
        <w:t>None</w:t>
      </w:r>
      <w:r w:rsidR="003C1FA9">
        <w:t>”</w:t>
      </w:r>
      <w:r>
        <w:t xml:space="preserve"> will appear in the Applicable Requirements Summary table.  If additional periodic monitoring is required for an applicable requirement, it will be explained in detail in the portion of this document entitled </w:t>
      </w:r>
      <w:r w:rsidR="003C1FA9">
        <w:t>“</w:t>
      </w:r>
      <w:r>
        <w:t>Rationale for Compliance Assurance Monitoring (CAM)/ Periodic Monitoring Methods Selected.</w:t>
      </w:r>
      <w:r w:rsidR="003C1FA9">
        <w:t>”</w:t>
      </w:r>
      <w:r>
        <w:t xml:space="preserve"> </w:t>
      </w:r>
    </w:p>
    <w:p w:rsidR="00723ED5" w:rsidRDefault="00723ED5" w:rsidP="00FA7659">
      <w:pPr>
        <w:numPr>
          <w:ilvl w:val="12"/>
          <w:numId w:val="0"/>
        </w:numPr>
        <w:spacing w:after="240"/>
      </w:pPr>
      <w:r>
        <w:t xml:space="preserve">When attributes demonstrate that a unit is not subject to an applicable requirement, the applicant may request a permit shield for those items.  The portion of this document entitled </w:t>
      </w:r>
      <w:r w:rsidR="003C1FA9">
        <w:t>“</w:t>
      </w:r>
      <w:r>
        <w:t>Basis for Applying Permit Shields</w:t>
      </w:r>
      <w:r w:rsidR="003C1FA9">
        <w:t>”</w:t>
      </w:r>
      <w:r>
        <w:t xml:space="preserve"> specifies which units, if any, have a permit shield.</w:t>
      </w:r>
    </w:p>
    <w:p w:rsidR="00723ED5" w:rsidRPr="00F10E2D" w:rsidRDefault="00723ED5" w:rsidP="00FA7659">
      <w:pPr>
        <w:numPr>
          <w:ilvl w:val="12"/>
          <w:numId w:val="0"/>
        </w:numPr>
        <w:spacing w:after="240"/>
        <w:outlineLvl w:val="0"/>
      </w:pPr>
      <w:r w:rsidRPr="00F10E2D">
        <w:t>Operational Flexibility</w:t>
      </w:r>
    </w:p>
    <w:p w:rsidR="00723ED5" w:rsidRDefault="00723ED5" w:rsidP="00FA7659">
      <w:pPr>
        <w:numPr>
          <w:ilvl w:val="12"/>
          <w:numId w:val="0"/>
        </w:numPr>
        <w:spacing w:after="240"/>
      </w:pPr>
      <w:r>
        <w:t>When an emission unit has multiple operating scenarios, it will have a different index number associated with each operating condition.  This means that units are permitted to operate under multiple operating conditions.  The applicable requirements for each operating condition are determined by a unique set of unit attributes.  For example, a tank may store two different products at different points in time.  The tank may, therefore, need to comply with two distinct sets of requirements, depending on the product that is stored.  Both sets of requirements are included in the permit, so that the permit holder may store either product in the tank.</w:t>
      </w:r>
    </w:p>
    <w:p w:rsidR="00723ED5" w:rsidRDefault="00723ED5" w:rsidP="00F10E2D">
      <w:pPr>
        <w:numPr>
          <w:ilvl w:val="12"/>
          <w:numId w:val="0"/>
        </w:numPr>
      </w:pPr>
    </w:p>
    <w:p w:rsidR="00FA7659" w:rsidRDefault="00FA7659" w:rsidP="00F10E2D">
      <w:pPr>
        <w:numPr>
          <w:ilvl w:val="12"/>
          <w:numId w:val="0"/>
        </w:numPr>
        <w:sectPr w:rsidR="00FA7659" w:rsidSect="00357321">
          <w:footerReference w:type="default" r:id="rId12"/>
          <w:pgSz w:w="12240" w:h="15840"/>
          <w:pgMar w:top="907" w:right="720" w:bottom="1440" w:left="720" w:header="1440" w:footer="1440" w:gutter="0"/>
          <w:cols w:space="720"/>
          <w:titlePg/>
          <w:docGrid w:linePitch="272"/>
        </w:sectPr>
      </w:pPr>
    </w:p>
    <w:p w:rsidR="00723ED5" w:rsidRPr="00F10E2D" w:rsidRDefault="00723ED5" w:rsidP="006A69F8">
      <w:pPr>
        <w:numPr>
          <w:ilvl w:val="12"/>
          <w:numId w:val="0"/>
        </w:numPr>
        <w:spacing w:after="240"/>
        <w:jc w:val="center"/>
        <w:outlineLvl w:val="0"/>
        <w:rPr>
          <w:rStyle w:val="Strong"/>
        </w:rPr>
      </w:pPr>
      <w:r w:rsidRPr="00F10E2D">
        <w:rPr>
          <w:rStyle w:val="Strong"/>
        </w:rPr>
        <w:lastRenderedPageBreak/>
        <w:t>D</w:t>
      </w:r>
      <w:r w:rsidR="00F10E2D" w:rsidRPr="00F10E2D">
        <w:rPr>
          <w:rStyle w:val="Strong"/>
        </w:rPr>
        <w:t>etermination of Applicable</w:t>
      </w:r>
      <w:r w:rsidRPr="00F10E2D">
        <w:rPr>
          <w:rStyle w:val="Strong"/>
        </w:rPr>
        <w:t xml:space="preserve"> R</w:t>
      </w:r>
      <w:r w:rsidR="00F10E2D" w:rsidRPr="00F10E2D">
        <w:rPr>
          <w:rStyle w:val="Strong"/>
        </w:rPr>
        <w:t>equirements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Caption w:val="Determination of Applicable Requirements"/>
        <w:tblDescription w:val="Determination of Applicable Requirements"/>
      </w:tblPr>
      <w:tblGrid>
        <w:gridCol w:w="1074"/>
        <w:gridCol w:w="1438"/>
        <w:gridCol w:w="1628"/>
        <w:gridCol w:w="6390"/>
        <w:gridCol w:w="3870"/>
      </w:tblGrid>
      <w:tr w:rsidR="001F296C" w:rsidRPr="00FC7EDA" w:rsidTr="006A69F8">
        <w:trPr>
          <w:tblHeader/>
          <w:jc w:val="center"/>
        </w:trPr>
        <w:tc>
          <w:tcPr>
            <w:tcW w:w="1074" w:type="dxa"/>
            <w:shd w:val="pct10" w:color="000000" w:fill="FFFFFF"/>
          </w:tcPr>
          <w:p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Unit ID</w:t>
            </w:r>
          </w:p>
        </w:tc>
        <w:tc>
          <w:tcPr>
            <w:tcW w:w="1438" w:type="dxa"/>
            <w:shd w:val="pct10" w:color="000000" w:fill="FFFFFF"/>
          </w:tcPr>
          <w:p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Regulation</w:t>
            </w:r>
          </w:p>
        </w:tc>
        <w:tc>
          <w:tcPr>
            <w:tcW w:w="1628" w:type="dxa"/>
            <w:shd w:val="pct10" w:color="000000" w:fill="FFFFFF"/>
          </w:tcPr>
          <w:p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Index Number</w:t>
            </w:r>
          </w:p>
        </w:tc>
        <w:tc>
          <w:tcPr>
            <w:tcW w:w="6390" w:type="dxa"/>
            <w:shd w:val="pct10" w:color="000000" w:fill="FFFFFF"/>
          </w:tcPr>
          <w:p w:rsidR="001F296C" w:rsidRPr="00FC7EDA" w:rsidRDefault="001F296C" w:rsidP="00F07934">
            <w:pPr>
              <w:numPr>
                <w:ilvl w:val="12"/>
                <w:numId w:val="0"/>
              </w:numPr>
              <w:tabs>
                <w:tab w:val="left" w:pos="0"/>
                <w:tab w:val="left" w:pos="720"/>
                <w:tab w:val="left" w:pos="1440"/>
                <w:tab w:val="left" w:pos="2160"/>
                <w:tab w:val="left" w:pos="2880"/>
                <w:tab w:val="left" w:pos="3600"/>
                <w:tab w:val="left" w:pos="4320"/>
              </w:tabs>
              <w:spacing w:before="96" w:after="50"/>
              <w:rPr>
                <w:szCs w:val="20"/>
              </w:rPr>
            </w:pPr>
            <w:r w:rsidRPr="00FC7EDA">
              <w:rPr>
                <w:b/>
                <w:bCs/>
                <w:szCs w:val="20"/>
              </w:rPr>
              <w:t>Basis of Determination</w:t>
            </w:r>
            <w:r w:rsidRPr="00FC7EDA">
              <w:rPr>
                <w:szCs w:val="20"/>
              </w:rPr>
              <w:t>*</w:t>
            </w:r>
          </w:p>
        </w:tc>
        <w:tc>
          <w:tcPr>
            <w:tcW w:w="3870" w:type="dxa"/>
            <w:shd w:val="pct10" w:color="000000" w:fill="FFFFFF"/>
          </w:tcPr>
          <w:p w:rsidR="001F296C" w:rsidRPr="00FC7EDA" w:rsidRDefault="001F296C" w:rsidP="00F07934">
            <w:pPr>
              <w:numPr>
                <w:ilvl w:val="12"/>
                <w:numId w:val="0"/>
              </w:numPr>
              <w:tabs>
                <w:tab w:val="left" w:pos="0"/>
                <w:tab w:val="left" w:pos="720"/>
                <w:tab w:val="left" w:pos="1440"/>
                <w:tab w:val="left" w:pos="2160"/>
                <w:tab w:val="left" w:pos="2880"/>
                <w:tab w:val="left" w:pos="3600"/>
              </w:tabs>
              <w:spacing w:before="96" w:after="50"/>
              <w:rPr>
                <w:szCs w:val="20"/>
              </w:rPr>
            </w:pPr>
            <w:r w:rsidRPr="00FC7EDA">
              <w:rPr>
                <w:b/>
                <w:bCs/>
                <w:szCs w:val="20"/>
              </w:rPr>
              <w:t>Changes and Exceptions to DSS</w:t>
            </w:r>
            <w:r w:rsidRPr="00FC7EDA">
              <w:rPr>
                <w:szCs w:val="20"/>
              </w:rPr>
              <w:t>**</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sidRPr="00A751B3">
              <w:rPr>
                <w:sz w:val="16"/>
                <w:szCs w:val="16"/>
              </w:rPr>
              <w:t>40 CFR Part 60, Subpart NNN</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60NNN-1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65CAR-BLR</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65CAR-FL</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65CAR-INC</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ADMINGEN</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60IIII-3</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Exemptions = The CI ICE is not exempt due to national security, testing at an engine test cell/stand or as a temporary replacement.</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an emergency engine.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04/01/2006.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Diesel = Diesel fuel is used.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 and engine is a constant-speed engine.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2017 or later.</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is greater than 560 KW and less than or equal to 2237 KW.</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br w:type="page"/>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Standards = The emergency CI ICE does not meet the standards applicable to non-emergency engines.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Compliance Option = The CI ICE and control device is installed, configured, operated, and maintained according to the manufacturer’s emission-related written instructions.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ADMINGEN</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GRPEMRGGEN</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60IIII-2</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Exemptions = The CI ICE is not exempt due to national security, testing at an engine test cell/stand or as a temporary replacement.</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an emergency engine.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04/01/2006.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Diesel = Diesel fuel is used.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 and engine is a constant-speed engine.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greater than or equal to 368 KW and less than or equal to 560KW.</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Standards = The emergency CI ICE does not meet the standards applicable to non-emergency engines.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Compliance Option = The CI ICE and control device is installed, configured, operated, and maintained according to the manufacturer’s emission-related written instructions.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GRPEMRGGEN</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GRPFWP</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60IIII-1</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Exemptions = The CI ICE is not exempt due to national security, testing at an engine test cell/stand or as a temporary replacement.</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 fire-pump engine, an emergency engine certified to National Fire Protection Association requirements.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07/01/2006.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Diesel = Diesel fuel is used.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2015.</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is greater than or equal to 450 KW and less than or equal to 560 KW.</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Standards = The emergency CI ICE does not meet the standards applicable to non-emergency engines.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Compliance Option = The CI ICE and control device is installed, configured, operated, and maintained according to the manufacturer’s emission-related written instructions.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GRPFWP</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br w:type="page"/>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ADMINGENTK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ADMINGENTK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GAD03</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R5112-14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Control Device Type = Carbon </w:t>
            </w:r>
            <w:proofErr w:type="spellStart"/>
            <w:r>
              <w:rPr>
                <w:sz w:val="16"/>
                <w:szCs w:val="16"/>
              </w:rPr>
              <w:t>adsorber</w:t>
            </w:r>
            <w:proofErr w:type="spellEnd"/>
            <w:r>
              <w:rPr>
                <w:sz w:val="16"/>
                <w:szCs w:val="16"/>
              </w:rPr>
              <w:t xml:space="preserve"> (non-regenerative).</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GAD03</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GDD08</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GDD08</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60Kb-6</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2.2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GDD09</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GDD09</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lastRenderedPageBreak/>
              <w:t>GED04</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GED04</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GRPFWPTK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GRPFWPTK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GRPGENTK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r>
              <w:br w:type="page"/>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GRPGENTK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GRPGLYTANK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GRPGLYTANK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Storage Capacity = Capacity is greater than or equal to 39,890 gallons (151,000 liters)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GRPGLYTANK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R5112-21</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r>
              <w:br w:type="page"/>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R5112-22</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Direct-flame incinerator</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R5112-25</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Product Stored = VOC other than crude oil or condensate</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Other control device</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3C1FA9" w:rsidTr="006A69F8">
        <w:trPr>
          <w:jc w:val="center"/>
        </w:trPr>
        <w:tc>
          <w:tcPr>
            <w:tcW w:w="1074"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3C1FA9" w:rsidRDefault="003C1FA9"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rsidR="003C1FA9" w:rsidRDefault="003C1FA9"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rsidR="003C1FA9" w:rsidRDefault="003C1FA9"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63YY-BLR</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63YY-FL</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63YY-INC</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GRPPETANK</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GRPPETANK</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RAD02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R5112-11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r>
              <w:br w:type="page"/>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lastRenderedPageBreak/>
              <w:t>RAD02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60Kb-5</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10,600 gallons but less than 19,813 gallons (capacity is greater than 40,000 liters but less than or equal to 75,000 liters)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SCTOTE-GLY</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SCTOTE-GLY</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TOTES</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TOTES</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UTD04</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UTD04</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60Kb-6</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2.2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lastRenderedPageBreak/>
              <w:t>ZMTK01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submerged fill pipe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ZMTK01</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Product stored at a gasoline service station</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ZMTK02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ZMTK02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60Kb-5</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10,600 gallons but less than 19,813 gallons (capacity is greater than 40,000 liters but less than or equal to 75,000 liters)</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R5112-26</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R5112-27</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lastRenderedPageBreak/>
              <w:br w:type="page"/>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Direct-flame incinerator</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R5112-30</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Other control device</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60Kb-22</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Closed vent system (CVS) with a flare used as the control device (fixed roof)</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60Kb-23A</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CVS and control device other than a flare (fixed roof)</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60Kb-23B</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Storage Vessel Description = CVS and control device other than a flare (fixed roof)</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R5112-20</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Storage Capacity = Capacity is greater than 25,000 gallons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an internal floating roof with slotted sampling and gauge pipes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60Kb-34</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r>
              <w:br w:type="page"/>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0.75 psia but less than 11.1 psia</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Fixed roof with an internal floating roof using two seals mounted one above the other to form a continuous closure</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A751B3" w:rsidTr="006A69F8">
        <w:trPr>
          <w:jc w:val="center"/>
        </w:trPr>
        <w:tc>
          <w:tcPr>
            <w:tcW w:w="1074"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A751B3" w:rsidRDefault="00A751B3" w:rsidP="00A751B3">
            <w:pPr>
              <w:numPr>
                <w:ilvl w:val="12"/>
                <w:numId w:val="0"/>
              </w:numPr>
              <w:tabs>
                <w:tab w:val="left" w:pos="0"/>
                <w:tab w:val="left" w:pos="720"/>
                <w:tab w:val="left" w:pos="1440"/>
              </w:tabs>
              <w:spacing w:before="96" w:after="50"/>
              <w:rPr>
                <w:sz w:val="16"/>
                <w:szCs w:val="16"/>
              </w:rPr>
            </w:pPr>
            <w:r>
              <w:rPr>
                <w:sz w:val="16"/>
                <w:szCs w:val="16"/>
              </w:rPr>
              <w:t>61FF-1</w:t>
            </w:r>
          </w:p>
        </w:tc>
        <w:tc>
          <w:tcPr>
            <w:tcW w:w="6390" w:type="dxa"/>
          </w:tcPr>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Waste Treatment Tank = The tank manages, treats or stores a waste stream subject to 40 CFR Part 61, Subpart FF.</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 for Tanks = The tank is complying with the alternative standards in 40 CFR § 61.351.</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proofErr w:type="spellStart"/>
            <w:r>
              <w:rPr>
                <w:sz w:val="16"/>
                <w:szCs w:val="16"/>
              </w:rPr>
              <w:t>Kb</w:t>
            </w:r>
            <w:proofErr w:type="spellEnd"/>
            <w:r>
              <w:rPr>
                <w:sz w:val="16"/>
                <w:szCs w:val="16"/>
              </w:rPr>
              <w:t xml:space="preserve"> Tank Type = Using a fixed roof and internal floating roof, that meets the requirements of 40 CFR § 60.112b(a)(1)</w:t>
            </w:r>
          </w:p>
          <w:p w:rsidR="00A751B3" w:rsidRDefault="00A751B3" w:rsidP="00A751B3">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Seal Type = Two seals mounted one above the other so that each forms a continuous closure that completely covers the space between the wall of the vessel and the edge of the internal floating roof.</w:t>
            </w:r>
          </w:p>
        </w:tc>
        <w:tc>
          <w:tcPr>
            <w:tcW w:w="3870" w:type="dxa"/>
          </w:tcPr>
          <w:p w:rsidR="00A751B3" w:rsidRDefault="00A751B3" w:rsidP="00A751B3">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63YY-1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at an ethylene production facility.</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ZTTK05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R5112-20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an internal floating roof with slotted sampling and gauge pipes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ZTTK05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60Kb-35</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0.75 psia but less than 11.1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Storage Vessel Description = Fixed roof with an internal floating roof using a mechanical shoe seal</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CCD81-LOAD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Loading and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DREFUSTN</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GLYUNLOAD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GLYUNLOAD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GREFUSTN</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Motor vehicle fuel dispensing facility</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GRPGLYLOAD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Transfer Type = Only 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GRPGLYLOAD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Rack Type = Group 2 transfer rack (as defined in 40 CFR § 63.111).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Subpart BB = The transfer rack is not subject to 40 CFR Part 61, Subpart BB.</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MEOHUNLOAD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MEOHUNLOAD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RLOAD-C3</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R5212-7</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Options = Vapor balance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Control Device Type = No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RLOAD-HFO</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R5212-5</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Loading less than 20,000 gallons per day.</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SLOPUNLOAD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SLOPUNLOAD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TLOAD-SLOP</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R5212-5</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True Vapor Pressure = True vapor pressure is greater than or equal to 1.5 psia.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Loading less than 20,000 gallons per day.</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WASHUNLOAD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WASHUNLOAD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Db</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60Db-1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Constructed or reconstructed after February 28, 2005.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Heat input capacity is greater than 250 MMBtu/</w:t>
            </w:r>
            <w:proofErr w:type="spellStart"/>
            <w:r>
              <w:rPr>
                <w:sz w:val="16"/>
                <w:szCs w:val="16"/>
              </w:rPr>
              <w:t>hr</w:t>
            </w:r>
            <w:proofErr w:type="spellEnd"/>
            <w:r>
              <w:rPr>
                <w:sz w:val="16"/>
                <w:szCs w:val="16"/>
              </w:rPr>
              <w:t xml:space="preserve"> (73 MW).</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Da = The affected facility does not meet applicability requirements of 40 CFR Part 60, Subpart Da.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Changes to Existing Affected Facility = No change has been made to the existing steam generating unit, which was not previously subject to 40 CFR Part 60, Subpart Db, for the sole purpose of combusting gases containing totally reduced sulfur as defined under 40 CFR § 60.281.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Ea</w:t>
            </w:r>
            <w:proofErr w:type="spellEnd"/>
            <w:r>
              <w:rPr>
                <w:sz w:val="16"/>
                <w:szCs w:val="16"/>
              </w:rPr>
              <w:t>, Eb or AAAA = The affected facility does not meet applicability requirements of and is subject to 40 CFR Part 60, Subpart </w:t>
            </w:r>
            <w:proofErr w:type="spellStart"/>
            <w:r>
              <w:rPr>
                <w:sz w:val="16"/>
                <w:szCs w:val="16"/>
              </w:rPr>
              <w:t>Ea</w:t>
            </w:r>
            <w:proofErr w:type="spellEnd"/>
            <w:r>
              <w:rPr>
                <w:sz w:val="16"/>
                <w:szCs w:val="16"/>
              </w:rPr>
              <w:t>, Eb or AAAA.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KKKK = The affected facility is not a heat recovery steam generator associated with combined cycle gas turbines and that meets applicability requirements of and is subject to 40 CFR Part 60, Subpart KKKK.</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Cb</w:t>
            </w:r>
            <w:proofErr w:type="spellEnd"/>
            <w:r>
              <w:rPr>
                <w:sz w:val="16"/>
                <w:szCs w:val="16"/>
              </w:rPr>
              <w:t xml:space="preserve"> or BBBB = The affected facility is not covered by an EPA approved State or Federal section 111(d)/129 plan implementing 40 CFR Part 60, Subpart </w:t>
            </w:r>
            <w:proofErr w:type="spellStart"/>
            <w:r>
              <w:rPr>
                <w:sz w:val="16"/>
                <w:szCs w:val="16"/>
              </w:rPr>
              <w:t>Cb</w:t>
            </w:r>
            <w:proofErr w:type="spellEnd"/>
            <w:r>
              <w:rPr>
                <w:sz w:val="16"/>
                <w:szCs w:val="16"/>
              </w:rPr>
              <w:t xml:space="preserve"> or BBBB emission guidelines.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#1 = Natural gas.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J = The affected facility does not meet applicability requirements of 40 CFR Part 60, Subpart J.</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E = The affected facility does not meet applicability requirements of 40 CFR Part 60, Subpart 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SO2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PM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NOx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60.42b(k)(2) Low Sulfur Exemption = The § 60.42b(k)(2) exemption applies.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Electrical or Mechanical Output = 10% or less of the annual output is electrical or mechanical.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60.49Da(n) Alternative = The facility is not using the § 60.49Da(n) alternative.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60.49Da(m) Alternative = The facility is not using the § 60.49Da(m) alternative.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PM Monitoring Type = No particulate monitoring.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Type = No particulate (opacity) monitoring.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NOx Monitoring Type = Continuous emission monitoring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SO2 Monitoring Type = Fuel certification (based on fuel analysis per § 60.49b(r)(2)).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Technology Type = None.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OTHER UNIT TYPE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Heat Release Rate = Natural gas with a heat release rate less than or equal to 70 </w:t>
            </w:r>
            <w:proofErr w:type="spellStart"/>
            <w:r>
              <w:rPr>
                <w:sz w:val="16"/>
                <w:szCs w:val="16"/>
              </w:rPr>
              <w:t>MBtu</w:t>
            </w:r>
            <w:proofErr w:type="spellEnd"/>
            <w:r>
              <w:rPr>
                <w:sz w:val="16"/>
                <w:szCs w:val="16"/>
              </w:rPr>
              <w:t>/</w:t>
            </w:r>
            <w:proofErr w:type="spellStart"/>
            <w:r>
              <w:rPr>
                <w:sz w:val="16"/>
                <w:szCs w:val="16"/>
              </w:rPr>
              <w:t>hr</w:t>
            </w:r>
            <w:proofErr w:type="spellEnd"/>
            <w:r>
              <w:rPr>
                <w:sz w:val="16"/>
                <w:szCs w:val="16"/>
              </w:rPr>
              <w:t>/ft</w:t>
            </w:r>
            <w:r w:rsidRPr="003C1FA9">
              <w:rPr>
                <w:sz w:val="16"/>
                <w:szCs w:val="16"/>
                <w:vertAlign w:val="superscript"/>
              </w:rPr>
              <w:t>3</w:t>
            </w:r>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Gas/Oil = The facility combusts natural gas or distillate oil in excess of 30% of the heat input from the combustion of all fuels.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Db</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60Db-2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Constructed or reconstructed after February 28, 2005.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Heat input capacity is greater than 250 MMBtu/</w:t>
            </w:r>
            <w:proofErr w:type="spellStart"/>
            <w:r>
              <w:rPr>
                <w:sz w:val="16"/>
                <w:szCs w:val="16"/>
              </w:rPr>
              <w:t>hr</w:t>
            </w:r>
            <w:proofErr w:type="spellEnd"/>
            <w:r>
              <w:rPr>
                <w:sz w:val="16"/>
                <w:szCs w:val="16"/>
              </w:rPr>
              <w:t xml:space="preserve"> (73 MW).</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Da = The affected facility does not meet applicability requirements of 40 CFR Part 60, Subpart Da.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Changes to Existing Affected Facility = No change has been made to the existing steam generating unit, which was not previously subject to 40 CFR Part 60, Subpart Db, for the sole purpose of combusting gases containing totally reduced sulfur as defined under 40 CFR § 60.281.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Ea</w:t>
            </w:r>
            <w:proofErr w:type="spellEnd"/>
            <w:r>
              <w:rPr>
                <w:sz w:val="16"/>
                <w:szCs w:val="16"/>
              </w:rPr>
              <w:t>, Eb or AAAA = The affected facility does not meet applicability requirements of and is subject to 40 CFR Part 60, Subpart </w:t>
            </w:r>
            <w:proofErr w:type="spellStart"/>
            <w:r>
              <w:rPr>
                <w:sz w:val="16"/>
                <w:szCs w:val="16"/>
              </w:rPr>
              <w:t>Ea</w:t>
            </w:r>
            <w:proofErr w:type="spellEnd"/>
            <w:r>
              <w:rPr>
                <w:sz w:val="16"/>
                <w:szCs w:val="16"/>
              </w:rPr>
              <w:t>, Eb or AAAA.</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KKKK = The affected facility is not a heat recovery steam generator associated with combined cycle gas turbines and that meets applicability requirements of and is subject to 40 CFR Part 60, Subpart KKKK.</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Cb</w:t>
            </w:r>
            <w:proofErr w:type="spellEnd"/>
            <w:r>
              <w:rPr>
                <w:sz w:val="16"/>
                <w:szCs w:val="16"/>
              </w:rPr>
              <w:t xml:space="preserve"> or BBBB = The affected facility is not covered by an EPA approved State or Federal section 111(d)/129 plan implementing 40 CFR Part 60, Subpart </w:t>
            </w:r>
            <w:proofErr w:type="spellStart"/>
            <w:r>
              <w:rPr>
                <w:sz w:val="16"/>
                <w:szCs w:val="16"/>
              </w:rPr>
              <w:t>Cb</w:t>
            </w:r>
            <w:proofErr w:type="spellEnd"/>
            <w:r>
              <w:rPr>
                <w:sz w:val="16"/>
                <w:szCs w:val="16"/>
              </w:rPr>
              <w:t xml:space="preserve"> or BBBB emission guidelines.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#1 = Natural gas.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#2 = Gaseous fossil fuel other than natural gas and coal-derived synthetic fuel meeting the definition of natural gas.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J = The affected facility does not meet applicability requirements of 40 CFR Part 60, Subpart J.</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E = The affected facility does not meet applicability requirements of 40 CFR Part 60, Subpart 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SO2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PM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NOx = Other ACF or no ACF.</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60.42b(k)(2) Low Sulfur Exemption = The § 60.42b(k)(2) exemption applies.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Electrical or Mechanical Output = 10% or less of the annual output is electrical or mechanical.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60.49Da(n) Alternative = The facility is not using the § 60.49Da(n) alternative.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60.49Da(m) Alternative = The facility is not using the § 60.49Da(m) alternative.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PM Monitoring Type = No particulate monitoring.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Type = No particulate (opacity) monitoring.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NOx Monitoring Type = Continuous emission monitoring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SO2 Monitoring Type = Fuel certification (based on fuel analysis per § 60.49b(r)(2)).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Technology Type = None.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OTHER UNIT TYPE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Heat Release Rate = Natural gas with a heat release rate less than or equal to 70 </w:t>
            </w:r>
            <w:proofErr w:type="spellStart"/>
            <w:r>
              <w:rPr>
                <w:sz w:val="16"/>
                <w:szCs w:val="16"/>
              </w:rPr>
              <w:t>MBtu</w:t>
            </w:r>
            <w:proofErr w:type="spellEnd"/>
            <w:r>
              <w:rPr>
                <w:sz w:val="16"/>
                <w:szCs w:val="16"/>
              </w:rPr>
              <w:t>/</w:t>
            </w:r>
            <w:proofErr w:type="spellStart"/>
            <w:r>
              <w:rPr>
                <w:sz w:val="16"/>
                <w:szCs w:val="16"/>
              </w:rPr>
              <w:t>hr</w:t>
            </w:r>
            <w:proofErr w:type="spellEnd"/>
            <w:r>
              <w:rPr>
                <w:sz w:val="16"/>
                <w:szCs w:val="16"/>
              </w:rPr>
              <w:t>/ft</w:t>
            </w:r>
            <w:r w:rsidRPr="003C1FA9">
              <w:rPr>
                <w:sz w:val="16"/>
                <w:szCs w:val="16"/>
                <w:vertAlign w:val="superscript"/>
              </w:rPr>
              <w:t>3</w:t>
            </w:r>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Gas/Oil = The facility does not combust natural gas or distillate oil in excess of 30 % of the heat input from the combustion of all fuels.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DDDDD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63DDDDD-1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Construction or reconstruction began after June 4, 2010.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RATED HEAT INPUT CAPACITY OF GREATER THAN 10 MMBTU/HR BUT LESS THAN 100 MMBTU/HR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TYPE = NATURAL GAS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DDDDD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63DDDDD-2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Construction or reconstruction began after June 4, 2010.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RATED HEAT INPUT CAPACITY OF 100 MMBTU/HR OR GREATER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ANNUAL CAPACITY FACTOR = NO ANNUAL CAPACITY FACTOR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TYPE = NATURAL GAS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UFFLARE01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60A-3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spellStart"/>
            <w:proofErr w:type="gramStart"/>
            <w:r>
              <w:rPr>
                <w:sz w:val="16"/>
                <w:szCs w:val="16"/>
              </w:rPr>
              <w:t>i</w:t>
            </w:r>
            <w:proofErr w:type="spellEnd"/>
            <w:r>
              <w:rPr>
                <w:sz w:val="16"/>
                <w:szCs w:val="16"/>
              </w:rPr>
              <w:t>)-(</w:t>
            </w:r>
            <w:proofErr w:type="gramEnd"/>
            <w:r>
              <w:rPr>
                <w:sz w:val="16"/>
                <w:szCs w:val="16"/>
              </w:rPr>
              <w:t>iii) or (c)(5).</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63A-3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E_FUG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E_FUG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SOP Index No. = Fugitive unit has all components </w:t>
            </w:r>
            <w:proofErr w:type="gramStart"/>
            <w:r>
              <w:rPr>
                <w:sz w:val="16"/>
                <w:szCs w:val="16"/>
              </w:rPr>
              <w:t>with the exception of</w:t>
            </w:r>
            <w:proofErr w:type="gramEnd"/>
            <w:r>
              <w:rPr>
                <w:sz w:val="16"/>
                <w:szCs w:val="16"/>
              </w:rPr>
              <w:t xml:space="preserve"> closed vent systems and control devices.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H</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63H-ALL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Owner/Operator assumes fugitive control requirements for all components in VOC or VHAP service subject to 40 CFR Part 63, Subpart H with no alternated control or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SOP Index No. = Fugitive unit has all components </w:t>
            </w:r>
            <w:proofErr w:type="gramStart"/>
            <w:r>
              <w:rPr>
                <w:sz w:val="16"/>
                <w:szCs w:val="16"/>
              </w:rPr>
              <w:t>with the exception of</w:t>
            </w:r>
            <w:proofErr w:type="gramEnd"/>
            <w:r>
              <w:rPr>
                <w:sz w:val="16"/>
                <w:szCs w:val="16"/>
              </w:rPr>
              <w:t xml:space="preserve"> closed vent systems and control devices.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63YY-ALL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Ethylene Production.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Equipment Type = The fugitive unit contains equipment, as defined in § 63.1101, contacting hazardous air pollutants in Tables 1 through 7 or Table 9, as appropriate.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lastRenderedPageBreak/>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SOP Index No. = Fugitive unit has all components </w:t>
            </w:r>
            <w:proofErr w:type="gramStart"/>
            <w:r>
              <w:rPr>
                <w:sz w:val="16"/>
                <w:szCs w:val="16"/>
              </w:rPr>
              <w:t>with the exception of</w:t>
            </w:r>
            <w:proofErr w:type="gramEnd"/>
            <w:r>
              <w:rPr>
                <w:sz w:val="16"/>
                <w:szCs w:val="16"/>
              </w:rPr>
              <w:t xml:space="preserve"> closed vent systems and control devices.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H</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63H-ALL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Owner/Operator assumes fugitive control requirements for all components in VOC or VHAP service subject to 40 CFR Part 63, Subpart H with no alternated control or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63YY-ALL</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Ethylene Production.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Equipment Type = The fugitive unit contains equipment, as defined in § 63.1101, contacting hazardous air pollutants in Tables 1 through 7 or Table 9, as appropriate.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63FFFF-CT</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Monitoring = The cooling water is being monitored for the presence of HAPs or other representative substances that would indicate a leak.</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Q</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63Q-1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Used Compounds Containing Chromium on or After September 8, 1994 = The industrial process cooling tower has not used compounds containing chromium on or after September 8, 1994.</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63YY-CT</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Exchange System = The cooling tower/heat exchange system is subject to the requirements of 40 CFR § 63.1100(e).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GRPSKIMMER</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Water Separation</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R5131-2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The executive director (or the EPA Administrator) has not approved an ACR or exemption criteria in accordance with 30 TAC § 115.910.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 = Water separator does not qualify for exemption.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Control Option = Vapor recovery system which satisfies the provisions of 30 TAC § 115.131.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Catalytic incinerator.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Water Separation</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R5131-1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The executive director (or the EPA Administrator) has not approved an ACR or exemption criteria in accordance with 30 TAC § 115.910.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 = Water separator does not qualify for exemption.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Control Option = The compartment has all openings sealed and totally encloses the liquid contents with gauging and sampling devices that are vapor tight except when in use.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ZTD12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EMISSIONS ARE ROUTED TO A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Cover and Closed Vent = CLOSED VENT SYSTEM IS OPERATED SUCH THAT THE OIL-WATER SEPARATOR IS MAINTAINED AT NEGATIVE PRESSURE (LESS THAN ATMOSPHERIC)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 Vent System and Control Device AMOC = COMPLYING WITH THE REQUIREMENTS OF § 61.349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 VENT SYSTEM HAS NO BY-PASS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REDUCING ORGANICS BY 95 WEIGHT PERCENT OR GREATER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ENGINEERING CALCULATIONS ARE USED TO DEMONSTRATE CONTROL DEVICE PERFORMANCE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COMPLYING WITH THE MONITORING REQUIREMENTS OF SUBPART FF</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EMISSIONS ARE ROUTED TO A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Cover and Closed Vent = CLOSED VENT SYSTEM IS OPERATED SUCH THAT THE OIL-WATER SEPARATOR IS MAINTAINED AT NEGATIVE PRESSURE (LESS THAN ATMOSPHERIC)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 Vent System and Control Device AMOC = COMPLYING WITH THE REQUIREMENTS OF § 61.349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 VENT SYSTEM HAS NO BY-PASS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GASEOUS EMISSIONS ARE ROUTED TO A FUEL GAS SYSTEM</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E-VENTGAS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E-VENTGAS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E-VENTGAS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63G-5A</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63, Subpart G only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meets the definition of a Group 1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63.113(a)(1)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63G-5B</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63, Subpart G only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meets the definition of a Group 1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GBX02</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GED03</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GED03</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63G-2A</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NNN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NNN and 40 CFR Part 63, Subpart G, and the owner or operator is electing to comply only with the requirements of 40 CFR Part 63, Subpart 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63.113(a)(1)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contains by-pass lines that can divert the vent stream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Indicator = A flow indicator is installed and operated at the entrance of the by-pass line.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GED03</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63G-2B</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NNN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NNN and 40 CFR Part 63, Subpart G, and the owner or operator is electing to comply only with the requirements of 40 CFR Part 63, Subpart 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Flow Rate = Flow rate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contains by-pass lines that can divert the vent stream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Indicator = A flow indicator is installed and operated at the entrance of the by-pass line.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GRPBLRSTK</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flare is being used for control.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a waiver has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63FFFF-2</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r>
              <w:br w:type="page"/>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63.985(b)(2).</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Assessment Waiver = The Administrator has not granted a waiver of compliance assessment or no waiver is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lastRenderedPageBreak/>
              <w:t>Recordkeeping</w:t>
            </w:r>
            <w:r w:rsidRPr="008E5C54">
              <w:rPr>
                <w:sz w:val="16"/>
                <w:szCs w:val="16"/>
              </w:rPr>
              <w:t>:</w:t>
            </w:r>
            <w:r>
              <w:rPr>
                <w:sz w:val="16"/>
                <w:szCs w:val="16"/>
              </w:rPr>
              <w:t xml:space="preserve"> Deleted citation § 63.2525(h) since it does not apply when CEMS is not used.</w:t>
            </w: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63FFFF-3</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criteria in § 63.985(b)(2).</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t>Recordkeeping</w:t>
            </w:r>
            <w:r w:rsidRPr="008E5C54">
              <w:rPr>
                <w:sz w:val="16"/>
                <w:szCs w:val="16"/>
              </w:rPr>
              <w:t>:</w:t>
            </w:r>
            <w:r>
              <w:rPr>
                <w:sz w:val="16"/>
                <w:szCs w:val="16"/>
              </w:rPr>
              <w:t xml:space="preserve"> Deleted citation § 63.2525(h) since it does not apply when CEMS is not used.</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flare is being used for control.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a waiver has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63FFFF-2</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Meets 63.988(b)(2) = The control device does not meet the criteria in § 63.985(b)(2).</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r>
              <w:br w:type="page"/>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lastRenderedPageBreak/>
              <w:t>Recordkeeping</w:t>
            </w:r>
            <w:r w:rsidRPr="008E5C54">
              <w:rPr>
                <w:sz w:val="16"/>
                <w:szCs w:val="16"/>
              </w:rPr>
              <w:t>:</w:t>
            </w:r>
            <w:r>
              <w:rPr>
                <w:sz w:val="16"/>
                <w:szCs w:val="16"/>
              </w:rPr>
              <w:t xml:space="preserve"> Deleted citation § 63.2525(h) since it does not apply when CEMS is not used.</w:t>
            </w: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63FFFF-3</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criteria in § 63.985(b)(2).</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t>Recordkeeping</w:t>
            </w:r>
            <w:r w:rsidRPr="008E5C54">
              <w:rPr>
                <w:sz w:val="16"/>
                <w:szCs w:val="16"/>
              </w:rPr>
              <w:t>:</w:t>
            </w:r>
            <w:r>
              <w:rPr>
                <w:sz w:val="16"/>
                <w:szCs w:val="16"/>
              </w:rPr>
              <w:t xml:space="preserve"> Deleted citation § 63.2525(h) since it does not apply when CEMS is not used.</w:t>
            </w: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GRPEQTANK</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GRPEXTRUD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GRPFURNSTK</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GRPFURNSTK</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from a combustion unit exhaust and the combustion unit is not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GRPGRANULE</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63G-3A</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RRR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RRR and 40 CFR Part 63, Subpart G, and the owner or operator is electing to comply only with the requirements of 40 CFR Part 63, Subpart 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Electing Control = Electing to control the process vent to the levels required in 40 CFR § 63.113(a)(1)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63G-3B</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RRR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RRR and 40 CFR Part 63, Subpart G, and the owner or operator is electing to comply only with the requirements of 40 CFR Part 63, Subpart 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GRPLOADOUT</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Concentration/Emission Rate @ Max Operating Conditions = The VOC concentration or emission rate is less than the applicable exemption limit at maximum </w:t>
            </w:r>
            <w:r>
              <w:rPr>
                <w:sz w:val="16"/>
                <w:szCs w:val="16"/>
              </w:rPr>
              <w:lastRenderedPageBreak/>
              <w:t>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GRPPELLET</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O-REGEN</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R5121-5</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originates from the catalyst regeneration of a petroleum or chemical process system, basic oxygen furnace, or fluid coking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Total Uncontrolled VOC Weight = The vent gas stream emits less than or equal to 5 tons of total uncontrolled VOC in any one calendar year and is claiming with the exemption 30 TAC § 115.127(c)(2).</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Device Type = Vapor recovery system, as defined in 30 TAC § 115.10, other than an afterburner, blast furnace combustion device, boiler, catalytic or direct flame incinerator, carbon adsorption system, chiller, flare or vapor combustor.</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PE-REGEN</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U_LAB</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UFF01A</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UFF01B</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PROEXTRUD</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PROGRANULE</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PROLOADOUT</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of Continuous Emissions = Vent gas stream emissions are not controlled with an existing control device (as defined in 40 CFR § 60.561).</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PROPELLET</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with a reduction of organics being greater than or equal to 95 weight percent.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Alternate Monitoring Parameters = Alternate monitoring parameters or requirements have not been approved by the Administrator or have not been requested.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61FF-3</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Samples of the waste stream exiting the treatment process are collected monthly and analyzed for benzene concentration.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with a reduction of organics being greater than or equal to 95 weight percent.</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61FF-4</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61FF-5</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Samples of the waste stream exiting the treatment process are collected monthly and analyzed for benzene concentration.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AMOC = No alternate means of compliance (AMOC) to meet the requirements of 40 CFR § 61.349 for a closed-vent system and control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61FF-6</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All gaseous vent streams from the treatment process or wastewater treatment system are routed to a fuel gas system.</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61FF-7</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Continuous Monitoring = Samples of the waste stream exiting the treatment process are collected monthly and analyzed for benzene concentration.</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All gaseous vent streams from the treatment process or wastewater treatment system are routed to a fuel gas system.</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Emission Control = Reduce uncontrolled organic HAP emissions from all batch process vents within the process by venting through a closed-vent system to a flare per Table 2.1.c.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r>
              <w:br w:type="page"/>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63.988(b)(2).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lastRenderedPageBreak/>
              <w:t>GRPCPEBPV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the criteria in § 63.988(b)(2).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 Device Type = No halogen scrubber or other halogen reduction device is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63FFFF-10</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Emission Control = Reduce uncontrolled organic HAP emissions from all batch process vents within the process by venting through a closed-vent system to a flare per Table 2.1.c.</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63FFFF-11</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Alt 63SS Mon Parameters = Alternate monitoring parameters or requirements have not been approved by the Administrator or have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63.988(b)(2).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8B30C8" w:rsidTr="006A69F8">
        <w:trPr>
          <w:jc w:val="center"/>
        </w:trPr>
        <w:tc>
          <w:tcPr>
            <w:tcW w:w="1074"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rsidR="008B30C8" w:rsidRDefault="008B30C8" w:rsidP="008B30C8">
            <w:pPr>
              <w:numPr>
                <w:ilvl w:val="12"/>
                <w:numId w:val="0"/>
              </w:numPr>
              <w:tabs>
                <w:tab w:val="left" w:pos="0"/>
                <w:tab w:val="left" w:pos="720"/>
                <w:tab w:val="left" w:pos="1440"/>
              </w:tabs>
              <w:spacing w:before="96" w:after="50"/>
              <w:rPr>
                <w:sz w:val="16"/>
                <w:szCs w:val="16"/>
              </w:rPr>
            </w:pPr>
            <w:r>
              <w:rPr>
                <w:sz w:val="16"/>
                <w:szCs w:val="16"/>
              </w:rPr>
              <w:t>63FFFF-12</w:t>
            </w:r>
          </w:p>
        </w:tc>
        <w:tc>
          <w:tcPr>
            <w:tcW w:w="6390" w:type="dxa"/>
          </w:tcPr>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the criteria in § 63.988(b)(2).</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rsidR="008B30C8" w:rsidRDefault="008B30C8" w:rsidP="008B30C8">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rsidR="008B30C8" w:rsidRDefault="008B30C8" w:rsidP="008B30C8">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GRPFURNACE</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63YY-1</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Research and Development = THE PROCESS UNIT IS USED IN PRODUCTION</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Flexible Unit = THE PROCESS UNIT IS DEDICATED TO ONE PRODUCT</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Primary Product = THE PRIMARY PRODUCT OF THE PROCESS UNIT IS A PRODUCT PRODUCED BY A REGULATED SOURCE CATEGORY</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Category = ETHYLENE PRODUCTION</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lastRenderedPageBreak/>
              <w:t>The rule citations were determined from an analysis of the rule text and the basis of determination.</w:t>
            </w:r>
          </w:p>
        </w:tc>
      </w:tr>
      <w:tr w:rsidR="00E05EA1" w:rsidTr="006A69F8">
        <w:trPr>
          <w:jc w:val="center"/>
        </w:trPr>
        <w:tc>
          <w:tcPr>
            <w:tcW w:w="1074"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PROMEGCMPU</w:t>
            </w:r>
          </w:p>
        </w:tc>
        <w:tc>
          <w:tcPr>
            <w:tcW w:w="143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40 CFR Part 63, Subpart F</w:t>
            </w:r>
          </w:p>
        </w:tc>
        <w:tc>
          <w:tcPr>
            <w:tcW w:w="1628" w:type="dxa"/>
          </w:tcPr>
          <w:p w:rsidR="00E05EA1" w:rsidRDefault="00E05EA1" w:rsidP="00E05EA1">
            <w:pPr>
              <w:numPr>
                <w:ilvl w:val="12"/>
                <w:numId w:val="0"/>
              </w:numPr>
              <w:tabs>
                <w:tab w:val="left" w:pos="0"/>
                <w:tab w:val="left" w:pos="720"/>
                <w:tab w:val="left" w:pos="1440"/>
              </w:tabs>
              <w:spacing w:before="96" w:after="50"/>
              <w:rPr>
                <w:sz w:val="16"/>
                <w:szCs w:val="16"/>
              </w:rPr>
            </w:pPr>
            <w:r>
              <w:rPr>
                <w:sz w:val="16"/>
                <w:szCs w:val="16"/>
              </w:rPr>
              <w:t>63F-1</w:t>
            </w:r>
          </w:p>
        </w:tc>
        <w:tc>
          <w:tcPr>
            <w:tcW w:w="6390" w:type="dxa"/>
          </w:tcPr>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Applicable Chemicals = The chemical manufacturing process unit manufactures, as a primary product, one or more of the chemicals listed in 40 CFR § 63.100(b)(1)(</w:t>
            </w:r>
            <w:proofErr w:type="spellStart"/>
            <w:r>
              <w:rPr>
                <w:sz w:val="16"/>
                <w:szCs w:val="16"/>
              </w:rPr>
              <w:t>i</w:t>
            </w:r>
            <w:proofErr w:type="spellEnd"/>
            <w:r>
              <w:rPr>
                <w:sz w:val="16"/>
                <w:szCs w:val="16"/>
              </w:rPr>
              <w:t>) or 40 CFR § 63.100(b)(1)(ii).</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2 HAP = The chemical manufacturing process unit uses as a reactant or manufactures, as a product or co-product, one or more of the organic hazardous air pollutants in Table 2.</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Emission Limitation = No alternative means of emission limitation has been approved by the EPA Administrator to achieve a reduction in organic HAP emission or no alternate has been requested.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Exchange System = A heat exchange system is utilized.</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Cooling Water Pressure = The heat exchange system is not operated with </w:t>
            </w:r>
            <w:proofErr w:type="gramStart"/>
            <w:r>
              <w:rPr>
                <w:sz w:val="16"/>
                <w:szCs w:val="16"/>
              </w:rPr>
              <w:t>the  minimum</w:t>
            </w:r>
            <w:proofErr w:type="gramEnd"/>
            <w:r>
              <w:rPr>
                <w:sz w:val="16"/>
                <w:szCs w:val="16"/>
              </w:rPr>
              <w:t xml:space="preserve"> pressure on the cooling water side at least 35 kilopascals greater than the maximum pressure on the process side.</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Intervening Cooling Fluid = There is no intervening cooling fluid containing less than 5 percent by weight of total HAPs listed in Table 4 of 40 CFR Part 63, Subpart F, between the process and cooling water.</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4 HAP Content = The recirculating heat exchange system is not used exclusively to cool process fluids that contain less than 5 percent by weight of total HAPs listed in Table 4 of title 40 CFR Part 63, Subpart F.</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NPDES Permit = The once-through heat exchange system is not subject </w:t>
            </w:r>
            <w:proofErr w:type="gramStart"/>
            <w:r>
              <w:rPr>
                <w:sz w:val="16"/>
                <w:szCs w:val="16"/>
              </w:rPr>
              <w:t>to  NPDES</w:t>
            </w:r>
            <w:proofErr w:type="gramEnd"/>
            <w:r>
              <w:rPr>
                <w:sz w:val="16"/>
                <w:szCs w:val="16"/>
              </w:rPr>
              <w:t xml:space="preserve"> permit with an allowable discharge limit of 1 part per million or less above influent concentration or 10 percent or less above influent concentration.</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40 CFR 63.104(a)(4)(</w:t>
            </w:r>
            <w:proofErr w:type="spellStart"/>
            <w:proofErr w:type="gramStart"/>
            <w:r>
              <w:rPr>
                <w:sz w:val="16"/>
                <w:szCs w:val="16"/>
              </w:rPr>
              <w:t>i</w:t>
            </w:r>
            <w:proofErr w:type="spellEnd"/>
            <w:r>
              <w:rPr>
                <w:sz w:val="16"/>
                <w:szCs w:val="16"/>
              </w:rPr>
              <w:t>)-(</w:t>
            </w:r>
            <w:proofErr w:type="gramEnd"/>
            <w:r>
              <w:rPr>
                <w:sz w:val="16"/>
                <w:szCs w:val="16"/>
              </w:rPr>
              <w:t>iv) = The once-through heat exchange system is not subject to an NPDES permit that meets 40 CFR § 63.104(a)(4)(</w:t>
            </w:r>
            <w:proofErr w:type="spellStart"/>
            <w:r>
              <w:rPr>
                <w:sz w:val="16"/>
                <w:szCs w:val="16"/>
              </w:rPr>
              <w:t>i</w:t>
            </w:r>
            <w:proofErr w:type="spellEnd"/>
            <w:r>
              <w:rPr>
                <w:sz w:val="16"/>
                <w:szCs w:val="16"/>
              </w:rPr>
              <w:t>) - (iv).</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9 HAP Content = The once-through heat exchange system is not used exclusively to cool process fluids that contain less than 5 percent by weight of total HAPs listed in Table 9 of 40 CFR Part 63, Subpart G.</w:t>
            </w:r>
          </w:p>
          <w:p w:rsidR="00E05EA1" w:rsidRDefault="00E05EA1" w:rsidP="00E05EA1">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Cooling Water Monitored = The cooling water is being monitored for the presence of one or more HAPs or other representative substances whose presence in cooling water indicates a leak.</w:t>
            </w:r>
          </w:p>
        </w:tc>
        <w:tc>
          <w:tcPr>
            <w:tcW w:w="3870" w:type="dxa"/>
          </w:tcPr>
          <w:p w:rsidR="00E05EA1" w:rsidRDefault="00E05EA1" w:rsidP="00E05EA1">
            <w:pPr>
              <w:numPr>
                <w:ilvl w:val="12"/>
                <w:numId w:val="0"/>
              </w:numPr>
              <w:tabs>
                <w:tab w:val="left" w:pos="0"/>
                <w:tab w:val="left" w:pos="720"/>
                <w:tab w:val="left" w:pos="1440"/>
                <w:tab w:val="left" w:pos="2160"/>
                <w:tab w:val="left" w:pos="2880"/>
                <w:tab w:val="left" w:pos="3600"/>
              </w:tabs>
              <w:spacing w:before="96" w:after="50"/>
              <w:rPr>
                <w:sz w:val="16"/>
                <w:szCs w:val="16"/>
              </w:rPr>
            </w:pPr>
          </w:p>
        </w:tc>
      </w:tr>
    </w:tbl>
    <w:p w:rsidR="00723ED5" w:rsidRDefault="00723ED5" w:rsidP="00DE1959">
      <w:pPr>
        <w:numPr>
          <w:ilvl w:val="12"/>
          <w:numId w:val="0"/>
        </w:numPr>
        <w:rPr>
          <w:sz w:val="18"/>
          <w:szCs w:val="18"/>
        </w:rPr>
      </w:pPr>
      <w:r>
        <w:rPr>
          <w:sz w:val="18"/>
          <w:szCs w:val="18"/>
        </w:rPr>
        <w:t xml:space="preserve">* - The </w:t>
      </w:r>
      <w:r w:rsidR="003C1FA9">
        <w:rPr>
          <w:sz w:val="18"/>
          <w:szCs w:val="18"/>
        </w:rPr>
        <w:t>“</w:t>
      </w:r>
      <w:r>
        <w:rPr>
          <w:sz w:val="18"/>
          <w:szCs w:val="18"/>
        </w:rPr>
        <w:t>unit attributes</w:t>
      </w:r>
      <w:r w:rsidR="003C1FA9">
        <w:rPr>
          <w:sz w:val="18"/>
          <w:szCs w:val="18"/>
        </w:rPr>
        <w:t>”</w:t>
      </w:r>
      <w:r>
        <w:rPr>
          <w:sz w:val="18"/>
          <w:szCs w:val="18"/>
        </w:rPr>
        <w:t xml:space="preserve"> or operating conditions that determine what requirements apply</w:t>
      </w:r>
    </w:p>
    <w:p w:rsidR="00723ED5" w:rsidRDefault="00723ED5" w:rsidP="00DE1959">
      <w:pPr>
        <w:numPr>
          <w:ilvl w:val="12"/>
          <w:numId w:val="0"/>
        </w:numPr>
      </w:pPr>
      <w:r>
        <w:rPr>
          <w:sz w:val="18"/>
          <w:szCs w:val="18"/>
        </w:rPr>
        <w:t>** - Notes changes made to the automated results from the DSS, and a brief explanation why</w:t>
      </w:r>
    </w:p>
    <w:p w:rsidR="00723ED5" w:rsidRDefault="00723ED5" w:rsidP="005772BA">
      <w:pPr>
        <w:numPr>
          <w:ilvl w:val="12"/>
          <w:numId w:val="0"/>
        </w:numPr>
        <w:sectPr w:rsidR="00723ED5" w:rsidSect="007E6E93">
          <w:footerReference w:type="default" r:id="rId13"/>
          <w:pgSz w:w="15840" w:h="12240" w:orient="landscape" w:code="1"/>
          <w:pgMar w:top="720" w:right="720" w:bottom="576" w:left="720" w:header="288" w:footer="288" w:gutter="0"/>
          <w:cols w:space="720"/>
        </w:sectPr>
      </w:pPr>
    </w:p>
    <w:p w:rsidR="00125DE4" w:rsidRPr="00F10E2D" w:rsidRDefault="00125DE4" w:rsidP="00135592">
      <w:pPr>
        <w:keepNext/>
        <w:spacing w:after="240"/>
        <w:outlineLvl w:val="0"/>
        <w:rPr>
          <w:rStyle w:val="Strong"/>
        </w:rPr>
      </w:pPr>
      <w:r w:rsidRPr="00F10E2D">
        <w:rPr>
          <w:rStyle w:val="Strong"/>
        </w:rPr>
        <w:lastRenderedPageBreak/>
        <w:t>NSR V</w:t>
      </w:r>
      <w:r w:rsidR="00F10E2D" w:rsidRPr="00F10E2D">
        <w:rPr>
          <w:rStyle w:val="Strong"/>
        </w:rPr>
        <w:t>ersus Title</w:t>
      </w:r>
      <w:r w:rsidRPr="00F10E2D">
        <w:rPr>
          <w:rStyle w:val="Strong"/>
        </w:rPr>
        <w:t xml:space="preserve"> V FOP</w:t>
      </w:r>
    </w:p>
    <w:p w:rsidR="00125DE4" w:rsidRPr="00980C68" w:rsidRDefault="00125DE4" w:rsidP="00135592">
      <w:pPr>
        <w:spacing w:after="240"/>
      </w:pPr>
      <w:r w:rsidRPr="00980C68">
        <w:t xml:space="preserve">The state of Texas has two Air permitting programs, New Source Review (NSR) and Title V Federal Operating Permits.  The two programs are substantially different both in intent and permit content. </w:t>
      </w:r>
    </w:p>
    <w:p w:rsidR="00125DE4" w:rsidRDefault="00125DE4" w:rsidP="00135592">
      <w:pPr>
        <w:spacing w:after="240"/>
      </w:pPr>
      <w:r w:rsidRPr="00980C68">
        <w:t xml:space="preserve">NSR is a </w:t>
      </w:r>
      <w:r>
        <w:t>preconstruction</w:t>
      </w:r>
      <w:r w:rsidRPr="00980C68">
        <w:t xml:space="preserve"> permitting program authorized by the Texas Clean Air Act</w:t>
      </w:r>
      <w:r>
        <w:t xml:space="preserve"> and Title I of the Federal Clean Air Act (FCAA)</w:t>
      </w:r>
      <w:r w:rsidRPr="00980C68">
        <w:t xml:space="preserve">.  The processing of these permits is </w:t>
      </w:r>
      <w:r>
        <w:t>governed</w:t>
      </w:r>
      <w:r w:rsidRPr="00980C68">
        <w:t xml:space="preserve"> by 30 </w:t>
      </w:r>
      <w:r>
        <w:t>Texas Administrative Code (</w:t>
      </w:r>
      <w:r w:rsidRPr="00980C68">
        <w:t>TAC</w:t>
      </w:r>
      <w:r>
        <w:t>)</w:t>
      </w:r>
      <w:r w:rsidRPr="00980C68">
        <w:t xml:space="preserve"> Chapter 116.111.  The Title V Federal Operating Program is a </w:t>
      </w:r>
      <w:r>
        <w:t>f</w:t>
      </w:r>
      <w:r w:rsidRPr="00980C68">
        <w:t xml:space="preserve">ederal program </w:t>
      </w:r>
      <w:r>
        <w:t>a</w:t>
      </w:r>
      <w:r w:rsidRPr="00980C68">
        <w:t xml:space="preserve">uthorized </w:t>
      </w:r>
      <w:r>
        <w:t xml:space="preserve">under Title V of </w:t>
      </w:r>
      <w:r w:rsidRPr="00980C68">
        <w:t xml:space="preserve">the </w:t>
      </w:r>
      <w:r>
        <w:t>FCAA</w:t>
      </w:r>
      <w:r w:rsidRPr="00980C68">
        <w:t xml:space="preserve"> that h</w:t>
      </w:r>
      <w:r w:rsidR="001066BE">
        <w:t>as been delegated to the s</w:t>
      </w:r>
      <w:r w:rsidR="00100220">
        <w:t xml:space="preserve">tate </w:t>
      </w:r>
      <w:r w:rsidRPr="00980C68">
        <w:t>o</w:t>
      </w:r>
      <w:r w:rsidR="00100220">
        <w:t>f</w:t>
      </w:r>
      <w:r w:rsidRPr="00980C68">
        <w:t xml:space="preserve"> Texas to administer and is governed by 30 TAC Chapter 122.  The major differences between the two permitting programs are listed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Caption w:val="NSR Versus Title V FOP"/>
        <w:tblDescription w:val="NSR Versus Title V FOP"/>
      </w:tblPr>
      <w:tblGrid>
        <w:gridCol w:w="5035"/>
        <w:gridCol w:w="5755"/>
      </w:tblGrid>
      <w:tr w:rsidR="00125DE4" w:rsidTr="00135592">
        <w:trPr>
          <w:tblHeader/>
        </w:trPr>
        <w:tc>
          <w:tcPr>
            <w:tcW w:w="5040" w:type="dxa"/>
          </w:tcPr>
          <w:p w:rsidR="00AA7984" w:rsidRDefault="00125DE4" w:rsidP="004B2643">
            <w:pPr>
              <w:jc w:val="center"/>
            </w:pPr>
            <w:r>
              <w:t>NSR Permit</w:t>
            </w:r>
          </w:p>
        </w:tc>
        <w:tc>
          <w:tcPr>
            <w:tcW w:w="5760" w:type="dxa"/>
          </w:tcPr>
          <w:p w:rsidR="00125DE4" w:rsidRDefault="00125DE4" w:rsidP="004B2643">
            <w:pPr>
              <w:jc w:val="center"/>
            </w:pPr>
            <w:r>
              <w:t>Federal Operating Permit</w:t>
            </w:r>
            <w:r w:rsidR="002F35FC">
              <w:t xml:space="preserve"> </w:t>
            </w:r>
            <w:r>
              <w:t>(FOP)</w:t>
            </w:r>
          </w:p>
        </w:tc>
      </w:tr>
      <w:tr w:rsidR="00125DE4" w:rsidTr="00135592">
        <w:tc>
          <w:tcPr>
            <w:tcW w:w="5040" w:type="dxa"/>
          </w:tcPr>
          <w:p w:rsidR="00125DE4" w:rsidRDefault="00125DE4" w:rsidP="00F10E2D">
            <w:r>
              <w:t>Issued Prior to new Construction or modification of an existing facility</w:t>
            </w:r>
          </w:p>
        </w:tc>
        <w:tc>
          <w:tcPr>
            <w:tcW w:w="5760" w:type="dxa"/>
          </w:tcPr>
          <w:p w:rsidR="00125DE4" w:rsidRDefault="00125DE4" w:rsidP="00F10E2D">
            <w:r>
              <w:t>For initial permit with application shield, can be issued after operation commences; significant revisions require approval prior to operation.</w:t>
            </w:r>
          </w:p>
        </w:tc>
      </w:tr>
      <w:tr w:rsidR="00125DE4" w:rsidTr="00135592">
        <w:tc>
          <w:tcPr>
            <w:tcW w:w="5040" w:type="dxa"/>
          </w:tcPr>
          <w:p w:rsidR="00125DE4" w:rsidRDefault="00125DE4" w:rsidP="00F10E2D">
            <w:r>
              <w:t>Authorizes air emissions</w:t>
            </w:r>
          </w:p>
        </w:tc>
        <w:tc>
          <w:tcPr>
            <w:tcW w:w="5760" w:type="dxa"/>
          </w:tcPr>
          <w:p w:rsidR="00125DE4" w:rsidRDefault="00100220" w:rsidP="00F10E2D">
            <w:r>
              <w:t>C</w:t>
            </w:r>
            <w:r w:rsidR="00125DE4">
              <w:t>odifies existing applicable requirements, does not authorize new emissions</w:t>
            </w:r>
          </w:p>
        </w:tc>
      </w:tr>
      <w:tr w:rsidR="00125DE4" w:rsidTr="00135592">
        <w:tc>
          <w:tcPr>
            <w:tcW w:w="5040" w:type="dxa"/>
          </w:tcPr>
          <w:p w:rsidR="00125DE4" w:rsidRDefault="00125DE4" w:rsidP="00F10E2D">
            <w:r>
              <w:t>Ensures issued permits are protective of the environment and human health by conducting a health effects review and that requirement for best available control technology (BACT) is implemented.</w:t>
            </w:r>
          </w:p>
        </w:tc>
        <w:tc>
          <w:tcPr>
            <w:tcW w:w="5760" w:type="dxa"/>
          </w:tcPr>
          <w:p w:rsidR="00125DE4" w:rsidRDefault="00125DE4" w:rsidP="00F10E2D">
            <w:r>
              <w:t xml:space="preserve"> Applicable requirements listed in permit are used by the inspectors to ensure proper operation of the site as authorized.  Ensures that adequate monitoring is in place to allow compliance determination with the FOP.</w:t>
            </w:r>
          </w:p>
        </w:tc>
      </w:tr>
      <w:tr w:rsidR="00125DE4" w:rsidTr="00135592">
        <w:tc>
          <w:tcPr>
            <w:tcW w:w="5040" w:type="dxa"/>
          </w:tcPr>
          <w:p w:rsidR="00125DE4" w:rsidRDefault="00125DE4" w:rsidP="00F10E2D">
            <w:r>
              <w:t xml:space="preserve">Up to two Public notices may be required. Opportunity for public comment and contested case hearings for some authorizations. </w:t>
            </w:r>
          </w:p>
        </w:tc>
        <w:tc>
          <w:tcPr>
            <w:tcW w:w="5760" w:type="dxa"/>
          </w:tcPr>
          <w:p w:rsidR="00125DE4" w:rsidRDefault="00125DE4" w:rsidP="00F10E2D">
            <w:r>
              <w:t>One public notice required. Opportunity for public comments.  No contested case hearings.</w:t>
            </w:r>
          </w:p>
        </w:tc>
      </w:tr>
      <w:tr w:rsidR="00125DE4" w:rsidTr="00135592">
        <w:tc>
          <w:tcPr>
            <w:tcW w:w="5040" w:type="dxa"/>
          </w:tcPr>
          <w:p w:rsidR="00125DE4" w:rsidRDefault="00100220" w:rsidP="00F10E2D">
            <w:r>
              <w:t>Applies to all</w:t>
            </w:r>
            <w:r w:rsidR="00125DE4">
              <w:t xml:space="preserve"> point source emissions in the state.</w:t>
            </w:r>
          </w:p>
        </w:tc>
        <w:tc>
          <w:tcPr>
            <w:tcW w:w="5760" w:type="dxa"/>
          </w:tcPr>
          <w:p w:rsidR="00125DE4" w:rsidRDefault="00125DE4" w:rsidP="00F10E2D">
            <w:r>
              <w:t>Applies to all major sources and some non-major sources identified by the EPA.</w:t>
            </w:r>
          </w:p>
        </w:tc>
      </w:tr>
      <w:tr w:rsidR="00125DE4" w:rsidTr="00135592">
        <w:tc>
          <w:tcPr>
            <w:tcW w:w="5040" w:type="dxa"/>
          </w:tcPr>
          <w:p w:rsidR="00125DE4" w:rsidRDefault="00125DE4" w:rsidP="00F10E2D">
            <w:r>
              <w:t>Applies to facilities: a portion of site or individual emission sources</w:t>
            </w:r>
          </w:p>
        </w:tc>
        <w:tc>
          <w:tcPr>
            <w:tcW w:w="5760" w:type="dxa"/>
          </w:tcPr>
          <w:p w:rsidR="00125DE4" w:rsidRDefault="00125DE4" w:rsidP="00F10E2D">
            <w:r>
              <w:t>One or multiple FOPs cover the entire site (consists of multiple facilities)</w:t>
            </w:r>
          </w:p>
        </w:tc>
      </w:tr>
      <w:tr w:rsidR="00125DE4" w:rsidTr="00135592">
        <w:tc>
          <w:tcPr>
            <w:tcW w:w="5040" w:type="dxa"/>
          </w:tcPr>
          <w:p w:rsidR="00125DE4" w:rsidRDefault="00125DE4" w:rsidP="00F10E2D">
            <w:r>
              <w:t>Permits include terms and conditions under which the applicant must construct and operate its various equipment and processes on a facility basis.</w:t>
            </w:r>
          </w:p>
        </w:tc>
        <w:tc>
          <w:tcPr>
            <w:tcW w:w="5760" w:type="dxa"/>
          </w:tcPr>
          <w:p w:rsidR="00125DE4" w:rsidRDefault="00125DE4" w:rsidP="00F10E2D">
            <w:r>
              <w:t>Permits include terms and conditions that specify the general operational requirements of the site; and include codification of all applicable requirements for emission units at the site.</w:t>
            </w:r>
          </w:p>
        </w:tc>
      </w:tr>
      <w:tr w:rsidR="00125DE4" w:rsidTr="00135592">
        <w:tc>
          <w:tcPr>
            <w:tcW w:w="5040" w:type="dxa"/>
          </w:tcPr>
          <w:p w:rsidR="00125DE4" w:rsidRDefault="00125DE4" w:rsidP="00F10E2D">
            <w:r>
              <w:t>Opportunity for EPA review for Federal Prevention of Significant Deterioration (PSD) and Nonattainment (NA) permits for major sources.</w:t>
            </w:r>
          </w:p>
        </w:tc>
        <w:tc>
          <w:tcPr>
            <w:tcW w:w="5760" w:type="dxa"/>
          </w:tcPr>
          <w:p w:rsidR="00125DE4" w:rsidRDefault="00125DE4" w:rsidP="00F10E2D">
            <w:r>
              <w:t xml:space="preserve">Opportunity for EPA review, </w:t>
            </w:r>
            <w:r w:rsidR="00BA0E23">
              <w:t>a</w:t>
            </w:r>
            <w:r>
              <w:t>ffected states review, and a Public petition period for every FOP.</w:t>
            </w:r>
          </w:p>
        </w:tc>
      </w:tr>
      <w:tr w:rsidR="00125DE4" w:rsidTr="00135592">
        <w:tc>
          <w:tcPr>
            <w:tcW w:w="5040" w:type="dxa"/>
          </w:tcPr>
          <w:p w:rsidR="00125DE4" w:rsidRDefault="00125DE4" w:rsidP="00F10E2D">
            <w:r>
              <w:t>Permits have a table listing maximum emission limits for pollutants</w:t>
            </w:r>
          </w:p>
        </w:tc>
        <w:tc>
          <w:tcPr>
            <w:tcW w:w="5760" w:type="dxa"/>
          </w:tcPr>
          <w:p w:rsidR="00125DE4" w:rsidRDefault="00125DE4" w:rsidP="00F10E2D">
            <w:r>
              <w:t>Permit has an applicable requirements table and Periodic Monitoring (PM) / Compliance Assurance Monitoring (CAM) tables which document applicable monitoring requirements.</w:t>
            </w:r>
          </w:p>
        </w:tc>
      </w:tr>
      <w:tr w:rsidR="00125DE4" w:rsidTr="00135592">
        <w:tc>
          <w:tcPr>
            <w:tcW w:w="5040" w:type="dxa"/>
          </w:tcPr>
          <w:p w:rsidR="00125DE4" w:rsidRDefault="00125DE4" w:rsidP="00F10E2D">
            <w:r>
              <w:t>Permits can be altered or amended upon application by company. Permits must be issued before construction or modification of facilities can begin.</w:t>
            </w:r>
          </w:p>
        </w:tc>
        <w:tc>
          <w:tcPr>
            <w:tcW w:w="5760" w:type="dxa"/>
          </w:tcPr>
          <w:p w:rsidR="00125DE4" w:rsidRDefault="00125DE4" w:rsidP="00F10E2D">
            <w:r>
              <w:t>Permits can be revised through several revision processes, which provide for different levels of public notice and opportunity to comment.  Change</w:t>
            </w:r>
            <w:r w:rsidR="00BB6AF2">
              <w:t>s</w:t>
            </w:r>
            <w:r>
              <w:t xml:space="preserve"> that would be significant revisions require that a revised permit be issued before those changes can be operated.</w:t>
            </w:r>
          </w:p>
        </w:tc>
      </w:tr>
      <w:tr w:rsidR="00125DE4" w:rsidTr="00135592">
        <w:tc>
          <w:tcPr>
            <w:tcW w:w="5040" w:type="dxa"/>
          </w:tcPr>
          <w:p w:rsidR="00125DE4" w:rsidRDefault="00125DE4" w:rsidP="00F10E2D">
            <w:r>
              <w:t>NSR permits are issued independent of FOP requirements.</w:t>
            </w:r>
          </w:p>
        </w:tc>
        <w:tc>
          <w:tcPr>
            <w:tcW w:w="5760" w:type="dxa"/>
          </w:tcPr>
          <w:p w:rsidR="00125DE4" w:rsidRDefault="00125DE4" w:rsidP="00F10E2D">
            <w:r>
              <w:t>FOP</w:t>
            </w:r>
            <w:r w:rsidR="00BA0E23">
              <w:t>s</w:t>
            </w:r>
            <w:r>
              <w:t xml:space="preserve"> are independent of NSR permits, but contain a list of all NSR permits incorporated by reference</w:t>
            </w:r>
          </w:p>
        </w:tc>
      </w:tr>
    </w:tbl>
    <w:p w:rsidR="00125DE4" w:rsidRPr="00125DE4" w:rsidRDefault="00125DE4" w:rsidP="00750524"/>
    <w:p w:rsidR="00284F25" w:rsidRPr="00284F25" w:rsidRDefault="00284F25" w:rsidP="00AB0DBB">
      <w:pPr>
        <w:keepNext/>
        <w:spacing w:after="240"/>
        <w:outlineLvl w:val="0"/>
        <w:rPr>
          <w:rStyle w:val="Strong"/>
        </w:rPr>
      </w:pPr>
      <w:r w:rsidRPr="00284F25">
        <w:rPr>
          <w:rStyle w:val="Strong"/>
        </w:rPr>
        <w:fldChar w:fldCharType="begin"/>
      </w:r>
      <w:r w:rsidRPr="00284F25">
        <w:rPr>
          <w:rStyle w:val="Strong"/>
        </w:rPr>
        <w:instrText xml:space="preserve"> SEQ CHAPTER \h \r 1</w:instrText>
      </w:r>
      <w:r w:rsidRPr="00284F25">
        <w:rPr>
          <w:rStyle w:val="Strong"/>
        </w:rPr>
        <w:fldChar w:fldCharType="end"/>
      </w:r>
      <w:r w:rsidRPr="00284F25">
        <w:rPr>
          <w:rStyle w:val="Strong"/>
        </w:rPr>
        <w:t>New Source Review Requirements</w:t>
      </w:r>
    </w:p>
    <w:p w:rsidR="00284F25" w:rsidRPr="00284F25" w:rsidRDefault="00284F25" w:rsidP="00AB0DBB">
      <w:pPr>
        <w:spacing w:after="240"/>
      </w:pPr>
      <w:r w:rsidRPr="00284F25">
        <w:t xml:space="preserve">Below is a list of the New Source Review (NSR) permits for the permitted area.  These NSR permits are incorporated by reference into the operating permit and are enforceable under it.  These permits can be found in the main TCEQ file room, located on the first floor of Building E, 12100 Park 35 Circle, Austin, Texas.  In addition, many of the permits are </w:t>
      </w:r>
      <w:r w:rsidRPr="00284F25">
        <w:lastRenderedPageBreak/>
        <w:t>accessible online through the link provided below.  The Public Education Program may be contacted at 1-800-687-4040 or the Air Permits Division (APD) may be contacted at 1-512-239-1250 for help with any question.</w:t>
      </w:r>
    </w:p>
    <w:p w:rsidR="00B42A15" w:rsidRPr="00B42A15" w:rsidRDefault="00B42A15" w:rsidP="00A364E6">
      <w:pPr>
        <w:keepNext/>
        <w:spacing w:after="240"/>
      </w:pPr>
      <w:r w:rsidRPr="00B42A15">
        <w:t>Additionally, the site contains emission units that are permitted by rule under the requirements of 30 TAC Chapter 106, Permits by Rule.  Permit by Rule (PBR) registrations submitted by permittees are also available online through the link provided below.   The following tabl</w:t>
      </w:r>
      <w:r>
        <w:t>e specifies the</w:t>
      </w:r>
      <w:r w:rsidRPr="00B42A15">
        <w:t xml:space="preserve"> PBRs that apply to the site. </w:t>
      </w:r>
    </w:p>
    <w:p w:rsidR="00B42A15" w:rsidRPr="00B42A15" w:rsidRDefault="00B42A15" w:rsidP="00B42A15">
      <w:pPr>
        <w:spacing w:after="240"/>
        <w:rPr>
          <w:iCs/>
        </w:rPr>
      </w:pPr>
      <w:r w:rsidRPr="00B42A15">
        <w:rPr>
          <w:iCs/>
        </w:rPr>
        <w:t>The status of air permits, app</w:t>
      </w:r>
      <w:r w:rsidR="006955B3">
        <w:rPr>
          <w:iCs/>
        </w:rPr>
        <w:t>lications, and PBR</w:t>
      </w:r>
      <w:r w:rsidRPr="00B42A15">
        <w:rPr>
          <w:iCs/>
        </w:rPr>
        <w:t xml:space="preserve"> registrations may be found by performing the appropriate search of the databases located at the following website:</w:t>
      </w:r>
    </w:p>
    <w:p w:rsidR="00284F25" w:rsidRPr="00284F25" w:rsidRDefault="00952307" w:rsidP="00AB0DBB">
      <w:pPr>
        <w:spacing w:after="240"/>
        <w:ind w:left="1170"/>
        <w:rPr>
          <w:rStyle w:val="Hyperlink"/>
          <w:iCs/>
          <w:u w:val="none"/>
        </w:rPr>
      </w:pPr>
      <w:hyperlink r:id="rId14" w:history="1">
        <w:r w:rsidR="003C1FA9">
          <w:rPr>
            <w:rStyle w:val="Hyperlink"/>
            <w:iCs/>
            <w:u w:val="none"/>
          </w:rPr>
          <w:t>www.tceq.texas.gov/permitting/air/nav/air_status_permits.html</w:t>
        </w:r>
      </w:hyperlink>
    </w:p>
    <w:p w:rsidR="00284F25" w:rsidRPr="00853940" w:rsidRDefault="00284F25" w:rsidP="00284F25">
      <w:pPr>
        <w:spacing w:after="240"/>
        <w:jc w:val="both"/>
        <w:rPr>
          <w:iCs/>
        </w:rPr>
      </w:pPr>
      <w:r w:rsidRPr="00284F25">
        <w:rPr>
          <w:rStyle w:val="Hyperlink"/>
          <w:color w:val="auto"/>
          <w:u w:val="none"/>
        </w:rPr>
        <w:t xml:space="preserve">Details on how to search the databases are available in the </w:t>
      </w:r>
      <w:r w:rsidRPr="00284F25">
        <w:rPr>
          <w:rStyle w:val="Hyperlink"/>
          <w:b/>
          <w:color w:val="auto"/>
          <w:u w:val="none"/>
        </w:rPr>
        <w:t>Obtaining Permit Documents</w:t>
      </w:r>
      <w:r w:rsidRPr="00284F25">
        <w:rPr>
          <w:rStyle w:val="Hyperlink"/>
          <w:color w:val="auto"/>
          <w:u w:val="none"/>
        </w:rPr>
        <w:t xml:space="preserve"> section below.</w:t>
      </w:r>
    </w:p>
    <w:tbl>
      <w:tblPr>
        <w:tblW w:w="5000" w:type="pct"/>
        <w:jc w:val="center"/>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Caption w:val="New Source Review Authorization References"/>
        <w:tblDescription w:val="New Source Review Authorization References"/>
      </w:tblPr>
      <w:tblGrid>
        <w:gridCol w:w="4297"/>
        <w:gridCol w:w="6503"/>
      </w:tblGrid>
      <w:tr w:rsidR="005E44E6" w:rsidTr="003C1FA9">
        <w:trPr>
          <w:tblHeader/>
          <w:jc w:val="center"/>
        </w:trPr>
        <w:tc>
          <w:tcPr>
            <w:tcW w:w="10800" w:type="dxa"/>
            <w:gridSpan w:val="2"/>
            <w:tcBorders>
              <w:top w:val="nil"/>
              <w:left w:val="nil"/>
              <w:bottom w:val="double" w:sz="6" w:space="0" w:color="000000"/>
              <w:right w:val="nil"/>
            </w:tcBorders>
            <w:shd w:val="clear" w:color="000000" w:fill="auto"/>
          </w:tcPr>
          <w:p w:rsidR="005E44E6" w:rsidRPr="00853315" w:rsidRDefault="00853315" w:rsidP="00853315">
            <w:pPr>
              <w:jc w:val="center"/>
              <w:rPr>
                <w:rStyle w:val="Strong"/>
                <w:b w:val="0"/>
              </w:rPr>
            </w:pPr>
            <w:r w:rsidRPr="00853315">
              <w:rPr>
                <w:b/>
              </w:rPr>
              <w:t>New Source Review Authorization References</w:t>
            </w:r>
          </w:p>
        </w:tc>
      </w:tr>
      <w:tr w:rsidR="008506B7" w:rsidTr="003C1FA9">
        <w:trPr>
          <w:jc w:val="center"/>
        </w:trPr>
        <w:tc>
          <w:tcPr>
            <w:tcW w:w="10800" w:type="dxa"/>
            <w:gridSpan w:val="2"/>
            <w:tcBorders>
              <w:top w:val="double" w:sz="6" w:space="0" w:color="000000"/>
              <w:bottom w:val="single" w:sz="6" w:space="0" w:color="000000"/>
            </w:tcBorders>
            <w:shd w:val="pct20" w:color="000000" w:fill="auto"/>
          </w:tcPr>
          <w:p w:rsidR="008506B7" w:rsidRPr="007A4CE4" w:rsidRDefault="008506B7" w:rsidP="00887031">
            <w:pPr>
              <w:rPr>
                <w:rStyle w:val="Strong"/>
              </w:rPr>
            </w:pPr>
            <w:r w:rsidRPr="007A4CE4">
              <w:rPr>
                <w:rStyle w:val="Strong"/>
              </w:rPr>
              <w:t>Prevention of Significant Deterioration (PSD) Permits</w:t>
            </w:r>
          </w:p>
        </w:tc>
      </w:tr>
      <w:tr w:rsidR="003C1FA9" w:rsidTr="003C1FA9">
        <w:trPr>
          <w:jc w:val="center"/>
        </w:trPr>
        <w:tc>
          <w:tcPr>
            <w:tcW w:w="4297" w:type="dxa"/>
            <w:tcBorders>
              <w:top w:val="single" w:sz="6" w:space="0" w:color="000000"/>
            </w:tcBorders>
          </w:tcPr>
          <w:p w:rsidR="003C1FA9" w:rsidRDefault="003C1FA9" w:rsidP="003C1FA9">
            <w:r>
              <w:t>PSD Permit No.:  GHGPSDTX170</w:t>
            </w:r>
          </w:p>
        </w:tc>
        <w:tc>
          <w:tcPr>
            <w:tcW w:w="6503" w:type="dxa"/>
            <w:tcBorders>
              <w:top w:val="single" w:sz="6" w:space="0" w:color="000000"/>
            </w:tcBorders>
          </w:tcPr>
          <w:p w:rsidR="003C1FA9" w:rsidRDefault="003C1FA9" w:rsidP="003C1FA9">
            <w:r>
              <w:t>Issuance Date:  11/27/2019</w:t>
            </w:r>
          </w:p>
        </w:tc>
      </w:tr>
      <w:tr w:rsidR="00032AC9" w:rsidTr="003C1FA9">
        <w:trPr>
          <w:jc w:val="center"/>
        </w:trPr>
        <w:tc>
          <w:tcPr>
            <w:tcW w:w="4297" w:type="dxa"/>
            <w:tcBorders>
              <w:top w:val="single" w:sz="6" w:space="0" w:color="000000"/>
            </w:tcBorders>
          </w:tcPr>
          <w:p w:rsidR="00032AC9" w:rsidRDefault="00032AC9" w:rsidP="00887031">
            <w:r>
              <w:t xml:space="preserve">PSD Permit No.:  </w:t>
            </w:r>
            <w:r w:rsidR="003C1FA9">
              <w:t>PSDTX1518</w:t>
            </w:r>
          </w:p>
        </w:tc>
        <w:tc>
          <w:tcPr>
            <w:tcW w:w="6503" w:type="dxa"/>
            <w:tcBorders>
              <w:top w:val="single" w:sz="6" w:space="0" w:color="000000"/>
            </w:tcBorders>
          </w:tcPr>
          <w:p w:rsidR="00032AC9" w:rsidRDefault="002A3C36" w:rsidP="00887031">
            <w:r>
              <w:t xml:space="preserve">Issuance Date:  </w:t>
            </w:r>
            <w:r w:rsidR="003C1FA9">
              <w:t>06/26/2020</w:t>
            </w:r>
          </w:p>
        </w:tc>
      </w:tr>
      <w:tr w:rsidR="008506B7" w:rsidTr="003C1FA9">
        <w:trPr>
          <w:jc w:val="center"/>
        </w:trPr>
        <w:tc>
          <w:tcPr>
            <w:tcW w:w="10800" w:type="dxa"/>
            <w:gridSpan w:val="2"/>
            <w:shd w:val="pct20" w:color="000000" w:fill="auto"/>
          </w:tcPr>
          <w:p w:rsidR="008506B7" w:rsidRPr="007A4CE4" w:rsidRDefault="008506B7" w:rsidP="00887031">
            <w:pPr>
              <w:rPr>
                <w:rStyle w:val="Strong"/>
              </w:rPr>
            </w:pPr>
            <w:r w:rsidRPr="007A4CE4">
              <w:rPr>
                <w:rStyle w:val="Strong"/>
              </w:rPr>
              <w:t xml:space="preserve">Title 30 TAC Chapter 116 Permits, Special Permits, and Other Authorizations (Other Than Permits </w:t>
            </w:r>
            <w:r w:rsidR="00C062C0">
              <w:rPr>
                <w:rStyle w:val="Strong"/>
              </w:rPr>
              <w:t>b</w:t>
            </w:r>
            <w:r w:rsidRPr="007A4CE4">
              <w:rPr>
                <w:rStyle w:val="Strong"/>
              </w:rPr>
              <w:t>y Rule, PSD Permits, or NA Permits) for the Application Area.</w:t>
            </w:r>
          </w:p>
        </w:tc>
      </w:tr>
      <w:tr w:rsidR="002A3C36" w:rsidTr="003C1FA9">
        <w:trPr>
          <w:jc w:val="center"/>
        </w:trPr>
        <w:tc>
          <w:tcPr>
            <w:tcW w:w="4297" w:type="dxa"/>
            <w:tcBorders>
              <w:bottom w:val="double" w:sz="4" w:space="0" w:color="auto"/>
            </w:tcBorders>
          </w:tcPr>
          <w:p w:rsidR="002A3C36" w:rsidRDefault="002A3C36" w:rsidP="00887031">
            <w:r>
              <w:t xml:space="preserve">Authorization No.:  </w:t>
            </w:r>
            <w:r w:rsidR="003C1FA9">
              <w:t>146425</w:t>
            </w:r>
          </w:p>
        </w:tc>
        <w:tc>
          <w:tcPr>
            <w:tcW w:w="6503" w:type="dxa"/>
            <w:tcBorders>
              <w:bottom w:val="double" w:sz="4" w:space="0" w:color="auto"/>
            </w:tcBorders>
          </w:tcPr>
          <w:p w:rsidR="002A3C36" w:rsidRDefault="002A3C36" w:rsidP="00887031">
            <w:r>
              <w:t xml:space="preserve">Issuance Date:  </w:t>
            </w:r>
            <w:r w:rsidR="003C1FA9">
              <w:t>06/26/2020</w:t>
            </w:r>
          </w:p>
        </w:tc>
      </w:tr>
    </w:tbl>
    <w:p w:rsidR="008506B7" w:rsidRDefault="008506B7" w:rsidP="00A60A70">
      <w:pPr>
        <w:spacing w:after="240"/>
        <w:rPr>
          <w:iCs/>
        </w:rPr>
      </w:pPr>
    </w:p>
    <w:p w:rsidR="00176A2B" w:rsidRPr="00176A2B" w:rsidRDefault="00176A2B" w:rsidP="00176A2B">
      <w:pPr>
        <w:keepNext/>
        <w:spacing w:after="240"/>
        <w:outlineLvl w:val="0"/>
        <w:rPr>
          <w:rStyle w:val="Strong"/>
        </w:rPr>
      </w:pPr>
      <w:r w:rsidRPr="00176A2B">
        <w:rPr>
          <w:rStyle w:val="Strong"/>
        </w:rPr>
        <w:t>Permits by Rule</w:t>
      </w:r>
    </w:p>
    <w:p w:rsidR="00176A2B" w:rsidRPr="00176A2B" w:rsidRDefault="00176A2B" w:rsidP="00176A2B">
      <w:pPr>
        <w:rPr>
          <w:iCs/>
        </w:rPr>
      </w:pPr>
      <w:r w:rsidRPr="00176A2B">
        <w:rPr>
          <w:iCs/>
        </w:rPr>
        <w:t>The TCEQ has interpreted the emission limits prescribed in 30 TAC §106.4(a) as both emission thresholds and default</w:t>
      </w:r>
    </w:p>
    <w:p w:rsidR="00176A2B" w:rsidRDefault="00176A2B" w:rsidP="00176A2B">
      <w:pPr>
        <w:rPr>
          <w:iCs/>
        </w:rPr>
      </w:pPr>
      <w:r w:rsidRPr="00176A2B">
        <w:rPr>
          <w:iCs/>
        </w:rPr>
        <w:t>emission limits. The emission limits in 30 TAC §106.4(a) are all considered applicable to each facility as a threshold matter</w:t>
      </w:r>
      <w:r>
        <w:rPr>
          <w:iCs/>
        </w:rPr>
        <w:t xml:space="preserve"> </w:t>
      </w:r>
      <w:r w:rsidRPr="00176A2B">
        <w:rPr>
          <w:iCs/>
        </w:rPr>
        <w:t>to ensure that the owner/operator qualifies for the PBR authorization. Those same emission limits are also the default</w:t>
      </w:r>
      <w:r>
        <w:rPr>
          <w:iCs/>
        </w:rPr>
        <w:t xml:space="preserve"> </w:t>
      </w:r>
      <w:r w:rsidRPr="00176A2B">
        <w:rPr>
          <w:iCs/>
        </w:rPr>
        <w:t>emission limits if the specific PBR does not further limit emissions or there is no lower, certified emission limit claimed by</w:t>
      </w:r>
      <w:r>
        <w:rPr>
          <w:iCs/>
        </w:rPr>
        <w:t xml:space="preserve"> </w:t>
      </w:r>
      <w:r w:rsidRPr="00176A2B">
        <w:rPr>
          <w:iCs/>
        </w:rPr>
        <w:t>the owner/operator.</w:t>
      </w:r>
    </w:p>
    <w:p w:rsidR="00176A2B" w:rsidRPr="00176A2B" w:rsidRDefault="00176A2B" w:rsidP="00176A2B">
      <w:pPr>
        <w:rPr>
          <w:iCs/>
        </w:rPr>
      </w:pPr>
    </w:p>
    <w:p w:rsidR="00176A2B" w:rsidRPr="00176A2B" w:rsidRDefault="00176A2B" w:rsidP="00176A2B">
      <w:pPr>
        <w:rPr>
          <w:iCs/>
        </w:rPr>
      </w:pPr>
      <w:r w:rsidRPr="00176A2B">
        <w:rPr>
          <w:iCs/>
        </w:rPr>
        <w:t>This interpretation is consistent with how TCEQ has historically determined compliance with the emission limits prior to</w:t>
      </w:r>
      <w:r w:rsidR="00B21FEA">
        <w:rPr>
          <w:iCs/>
        </w:rPr>
        <w:t xml:space="preserve"> </w:t>
      </w:r>
      <w:r w:rsidRPr="00176A2B">
        <w:rPr>
          <w:iCs/>
        </w:rPr>
        <w:t xml:space="preserve">the addition of the </w:t>
      </w:r>
      <w:r w:rsidR="003C1FA9">
        <w:rPr>
          <w:iCs/>
        </w:rPr>
        <w:t>“</w:t>
      </w:r>
      <w:r w:rsidRPr="00176A2B">
        <w:rPr>
          <w:iCs/>
        </w:rPr>
        <w:t>as applicable</w:t>
      </w:r>
      <w:r w:rsidR="003C1FA9">
        <w:rPr>
          <w:iCs/>
        </w:rPr>
        <w:t>”</w:t>
      </w:r>
      <w:r w:rsidRPr="00176A2B">
        <w:rPr>
          <w:iCs/>
        </w:rPr>
        <w:t xml:space="preserve"> language. The </w:t>
      </w:r>
      <w:r w:rsidR="003C1FA9">
        <w:rPr>
          <w:iCs/>
        </w:rPr>
        <w:t>“</w:t>
      </w:r>
      <w:r w:rsidRPr="00176A2B">
        <w:rPr>
          <w:iCs/>
        </w:rPr>
        <w:t>as applicable</w:t>
      </w:r>
      <w:r w:rsidR="003C1FA9">
        <w:rPr>
          <w:iCs/>
        </w:rPr>
        <w:t>”</w:t>
      </w:r>
      <w:r w:rsidRPr="00176A2B">
        <w:rPr>
          <w:iCs/>
        </w:rPr>
        <w:t xml:space="preserve"> language was added in 2014 as part of changes to the</w:t>
      </w:r>
      <w:r w:rsidR="00B21FEA">
        <w:rPr>
          <w:iCs/>
        </w:rPr>
        <w:t xml:space="preserve"> </w:t>
      </w:r>
      <w:r w:rsidRPr="00176A2B">
        <w:rPr>
          <w:iCs/>
        </w:rPr>
        <w:t>sentence structure in a rulemaking that made other changes to address greenhouse gases and was not intended as a</w:t>
      </w:r>
      <w:r w:rsidR="00B21FEA">
        <w:rPr>
          <w:iCs/>
        </w:rPr>
        <w:t xml:space="preserve"> </w:t>
      </w:r>
      <w:r w:rsidRPr="00176A2B">
        <w:rPr>
          <w:iCs/>
        </w:rPr>
        <w:t>substantive rule change. This interpretation also provides for effective and practical enforcement of 30 TAC §106.4(a),</w:t>
      </w:r>
      <w:r w:rsidR="00B21FEA">
        <w:rPr>
          <w:iCs/>
        </w:rPr>
        <w:t xml:space="preserve"> </w:t>
      </w:r>
      <w:r w:rsidRPr="00176A2B">
        <w:rPr>
          <w:iCs/>
        </w:rPr>
        <w:t>since for the TCEQ to effectively enforce the emission limits in 30 TAC §106.4(a) as emission thresholds, all emission</w:t>
      </w:r>
      <w:r w:rsidR="00B21FEA">
        <w:rPr>
          <w:iCs/>
        </w:rPr>
        <w:t xml:space="preserve"> </w:t>
      </w:r>
      <w:r w:rsidRPr="00176A2B">
        <w:rPr>
          <w:iCs/>
        </w:rPr>
        <w:t>limits must apply. As provided by 30 TAC §106.4(a)(2) and (3), an owner/operator shall not claim a PBR authorization if</w:t>
      </w:r>
      <w:r w:rsidR="00B21FEA">
        <w:rPr>
          <w:iCs/>
        </w:rPr>
        <w:t xml:space="preserve"> </w:t>
      </w:r>
      <w:r w:rsidRPr="00176A2B">
        <w:rPr>
          <w:iCs/>
        </w:rPr>
        <w:t>the facility is subject to major New Source Review. The practical and legal effect of the language in 30 TAC § 106.4 is</w:t>
      </w:r>
      <w:r w:rsidR="00B21FEA">
        <w:rPr>
          <w:iCs/>
        </w:rPr>
        <w:t xml:space="preserve"> </w:t>
      </w:r>
      <w:r w:rsidRPr="00176A2B">
        <w:rPr>
          <w:iCs/>
        </w:rPr>
        <w:t>that if a facility does not emit a pollutant, then the potential to emit for that particular pollutant is zero, and thus, the facility</w:t>
      </w:r>
      <w:r w:rsidR="00B21FEA">
        <w:rPr>
          <w:iCs/>
        </w:rPr>
        <w:t xml:space="preserve"> </w:t>
      </w:r>
      <w:r w:rsidRPr="00176A2B">
        <w:rPr>
          <w:iCs/>
        </w:rPr>
        <w:t>is not authorized to emit the pollutant pursuant to the PBR.</w:t>
      </w:r>
    </w:p>
    <w:p w:rsidR="00B21FEA" w:rsidRDefault="00B21FEA" w:rsidP="00176A2B">
      <w:pPr>
        <w:rPr>
          <w:iCs/>
        </w:rPr>
      </w:pPr>
    </w:p>
    <w:p w:rsidR="00176A2B" w:rsidRPr="00176A2B" w:rsidRDefault="00176A2B" w:rsidP="00176A2B">
      <w:pPr>
        <w:rPr>
          <w:iCs/>
        </w:rPr>
      </w:pPr>
      <w:r w:rsidRPr="00176A2B">
        <w:rPr>
          <w:iCs/>
        </w:rPr>
        <w:t>The permit holder is required to keep records for demonstrating compliance with PBRs in accordance with 30 TAC §</w:t>
      </w:r>
      <w:r w:rsidR="00B21FEA">
        <w:rPr>
          <w:iCs/>
        </w:rPr>
        <w:t xml:space="preserve"> </w:t>
      </w:r>
      <w:r w:rsidRPr="00176A2B">
        <w:rPr>
          <w:iCs/>
        </w:rPr>
        <w:t>106.8 for the following categories:</w:t>
      </w:r>
    </w:p>
    <w:p w:rsidR="00176A2B" w:rsidRPr="00176A2B" w:rsidRDefault="00176A2B" w:rsidP="00176A2B">
      <w:pPr>
        <w:rPr>
          <w:iCs/>
        </w:rPr>
      </w:pPr>
    </w:p>
    <w:p w:rsidR="00176A2B" w:rsidRPr="00176A2B" w:rsidRDefault="00176A2B" w:rsidP="00176A2B">
      <w:pPr>
        <w:pStyle w:val="ListParagraph"/>
        <w:numPr>
          <w:ilvl w:val="0"/>
          <w:numId w:val="19"/>
        </w:numPr>
        <w:rPr>
          <w:iCs/>
        </w:rPr>
      </w:pPr>
      <w:r w:rsidRPr="00176A2B">
        <w:rPr>
          <w:iCs/>
        </w:rPr>
        <w:t>As stated in 30 TAC § 106.8(a), the permit holder is not required to keep records for de minimis sources as designated in 30 TAC § 116.119.</w:t>
      </w:r>
    </w:p>
    <w:p w:rsidR="00176A2B" w:rsidRPr="00176A2B" w:rsidRDefault="00176A2B" w:rsidP="00176A2B">
      <w:pPr>
        <w:pStyle w:val="ListParagraph"/>
        <w:numPr>
          <w:ilvl w:val="0"/>
          <w:numId w:val="19"/>
        </w:numPr>
        <w:rPr>
          <w:iCs/>
        </w:rPr>
      </w:pPr>
      <w:r w:rsidRPr="00176A2B">
        <w:rPr>
          <w:iCs/>
        </w:rPr>
        <w:t>As stated in 30 TAC § 106.8(b) for PBRs on the insignificant activities list, the permit holder is required to provide information that would demonstrate compliance with the general requirements of 30 TAC § 106.4.</w:t>
      </w:r>
    </w:p>
    <w:p w:rsidR="00176A2B" w:rsidRPr="00176A2B" w:rsidRDefault="00176A2B" w:rsidP="00176A2B">
      <w:pPr>
        <w:pStyle w:val="ListParagraph"/>
        <w:numPr>
          <w:ilvl w:val="0"/>
          <w:numId w:val="19"/>
        </w:numPr>
        <w:rPr>
          <w:iCs/>
        </w:rPr>
      </w:pPr>
      <w:r w:rsidRPr="00176A2B">
        <w:rPr>
          <w:iCs/>
        </w:rPr>
        <w:t xml:space="preserve">As stated in 30 TAC § 106.8(c) for all other PBRs, the permit holder must maintain </w:t>
      </w:r>
      <w:proofErr w:type="gramStart"/>
      <w:r w:rsidRPr="00176A2B">
        <w:rPr>
          <w:iCs/>
        </w:rPr>
        <w:t>sufficient</w:t>
      </w:r>
      <w:proofErr w:type="gramEnd"/>
      <w:r w:rsidRPr="00176A2B">
        <w:rPr>
          <w:iCs/>
        </w:rPr>
        <w:t xml:space="preserve"> records to demonstrate compliance with the general requirements specified in 30 TAC § 106.4 and to demonstrate compliance with the emission limits and any specific conditions of the PBR as applicable.</w:t>
      </w:r>
    </w:p>
    <w:p w:rsidR="00176A2B" w:rsidRPr="00176A2B" w:rsidRDefault="00176A2B" w:rsidP="00176A2B">
      <w:pPr>
        <w:rPr>
          <w:iCs/>
        </w:rPr>
      </w:pPr>
    </w:p>
    <w:p w:rsidR="00176A2B" w:rsidRDefault="00176A2B" w:rsidP="00176A2B">
      <w:pPr>
        <w:rPr>
          <w:iCs/>
        </w:rPr>
      </w:pPr>
      <w:r w:rsidRPr="00176A2B">
        <w:rPr>
          <w:iCs/>
        </w:rPr>
        <w:lastRenderedPageBreak/>
        <w:t>The PBR records may include, but are not limited to, production capacity and throughput, hours of operation, safety data</w:t>
      </w:r>
      <w:r>
        <w:rPr>
          <w:iCs/>
        </w:rPr>
        <w:t xml:space="preserve"> </w:t>
      </w:r>
      <w:r w:rsidRPr="00176A2B">
        <w:rPr>
          <w:iCs/>
        </w:rPr>
        <w:t>sheets (SDS), chemical composition of raw materials, speciation of air contaminant data, engineering calculations,</w:t>
      </w:r>
      <w:r>
        <w:rPr>
          <w:iCs/>
        </w:rPr>
        <w:t xml:space="preserve"> </w:t>
      </w:r>
      <w:r w:rsidRPr="00176A2B">
        <w:rPr>
          <w:iCs/>
        </w:rPr>
        <w:t>maintenance records, fugitive data, performance tests, capture/control device efficiencies, or parametric monitoring. The</w:t>
      </w:r>
      <w:r>
        <w:rPr>
          <w:iCs/>
        </w:rPr>
        <w:t xml:space="preserve"> </w:t>
      </w:r>
      <w:r w:rsidRPr="00176A2B">
        <w:rPr>
          <w:iCs/>
        </w:rPr>
        <w:t>PBR records also satisfy the federal operating permit periodic monitoring requirements of 30 TAC § 122.142(c) as they</w:t>
      </w:r>
      <w:r>
        <w:rPr>
          <w:iCs/>
        </w:rPr>
        <w:t xml:space="preserve"> </w:t>
      </w:r>
      <w:r w:rsidRPr="00176A2B">
        <w:rPr>
          <w:iCs/>
        </w:rPr>
        <w:t>are representative of the emission unit</w:t>
      </w:r>
      <w:r w:rsidR="003C1FA9">
        <w:rPr>
          <w:iCs/>
        </w:rPr>
        <w:t>’</w:t>
      </w:r>
      <w:r w:rsidRPr="00176A2B">
        <w:rPr>
          <w:iCs/>
        </w:rPr>
        <w:t>s compliance with 30 TAC Chapter 106.</w:t>
      </w:r>
    </w:p>
    <w:p w:rsidR="00176A2B" w:rsidRPr="008738C6" w:rsidRDefault="00176A2B" w:rsidP="00176A2B">
      <w:pPr>
        <w:rPr>
          <w:iCs/>
        </w:rPr>
      </w:pPr>
    </w:p>
    <w:p w:rsidR="007E3F05" w:rsidRPr="007A4CE4" w:rsidRDefault="007E3F05" w:rsidP="00A60A70">
      <w:pPr>
        <w:keepNext/>
        <w:spacing w:after="240"/>
        <w:outlineLvl w:val="0"/>
        <w:rPr>
          <w:rStyle w:val="Strong"/>
        </w:rPr>
      </w:pPr>
      <w:r w:rsidRPr="007A4CE4">
        <w:rPr>
          <w:rStyle w:val="Strong"/>
        </w:rPr>
        <w:t>E</w:t>
      </w:r>
      <w:r w:rsidR="007A4CE4">
        <w:rPr>
          <w:rStyle w:val="Strong"/>
        </w:rPr>
        <w:t>mission Units and Emission Points</w:t>
      </w:r>
    </w:p>
    <w:p w:rsidR="007E3F05" w:rsidRPr="008738C6" w:rsidRDefault="007E3F05" w:rsidP="00A60A70">
      <w:pPr>
        <w:spacing w:after="240"/>
        <w:rPr>
          <w:iCs/>
        </w:rPr>
      </w:pPr>
      <w:r w:rsidRPr="008738C6">
        <w:rPr>
          <w:iCs/>
        </w:rPr>
        <w:t>In air permitting terminology, any source capable of generating emissions (for example, an engine or a sandblasting area) is called an Emission Unit. For purposes of Title V, emission units are specifically listed in the operating permit when they have applicable requirements other than New Source Review (NSR), or when they are listed in the permit shield table.</w:t>
      </w:r>
    </w:p>
    <w:p w:rsidR="007E3F05" w:rsidRPr="008738C6" w:rsidRDefault="007E3F05" w:rsidP="00A60A70">
      <w:pPr>
        <w:spacing w:after="240"/>
        <w:rPr>
          <w:iCs/>
        </w:rPr>
      </w:pPr>
      <w:r w:rsidRPr="008738C6">
        <w:rPr>
          <w:iCs/>
        </w:rPr>
        <w:t xml:space="preserve">The actual physical location where the emissions enter the atmosphere (for example, an engine stack or a sand-blasting yard) is called an emission point.  For New Source Review preconstruction permitting purposes, every emission unit has an associated emission point. Emission limits are listed in an NSR permit, associated with an emission point.  This list of emission points and emission limits per pollutant is commonly referred to as the </w:t>
      </w:r>
      <w:r w:rsidR="003C1FA9">
        <w:rPr>
          <w:iCs/>
        </w:rPr>
        <w:t>“</w:t>
      </w:r>
      <w:r w:rsidRPr="008738C6">
        <w:rPr>
          <w:iCs/>
        </w:rPr>
        <w:t>Maximum Allowable Emission Rate Table</w:t>
      </w:r>
      <w:r w:rsidR="003C1FA9">
        <w:rPr>
          <w:iCs/>
        </w:rPr>
        <w:t>”</w:t>
      </w:r>
      <w:r w:rsidRPr="008738C6">
        <w:rPr>
          <w:iCs/>
        </w:rPr>
        <w:t xml:space="preserve">, or </w:t>
      </w:r>
      <w:r w:rsidR="003C1FA9">
        <w:rPr>
          <w:iCs/>
        </w:rPr>
        <w:t>“</w:t>
      </w:r>
      <w:r w:rsidRPr="008738C6">
        <w:rPr>
          <w:iCs/>
        </w:rPr>
        <w:t>MAERT</w:t>
      </w:r>
      <w:r w:rsidR="003C1FA9">
        <w:rPr>
          <w:iCs/>
        </w:rPr>
        <w:t>”</w:t>
      </w:r>
      <w:r w:rsidRPr="008738C6">
        <w:rPr>
          <w:iCs/>
        </w:rPr>
        <w:t xml:space="preserve"> for short.  Specifically, the MAERT lists the Emission Point Number (EPN) that identifies the emission point, followed immediately by the Source Name, identifying the emission unit that is the source of those emissions on this table.</w:t>
      </w:r>
    </w:p>
    <w:p w:rsidR="007E3F05" w:rsidRDefault="007E3F05" w:rsidP="00A60A70">
      <w:pPr>
        <w:spacing w:after="240"/>
        <w:rPr>
          <w:iCs/>
        </w:rPr>
      </w:pPr>
      <w:r w:rsidRPr="008738C6">
        <w:rPr>
          <w:iCs/>
        </w:rPr>
        <w:t>Thus, by reference, an emission unit in a Title V operating permit is linked by reference number to an NSR authorization, a</w:t>
      </w:r>
      <w:r w:rsidR="008B0FD1">
        <w:rPr>
          <w:iCs/>
        </w:rPr>
        <w:t>nd its related emission point.</w:t>
      </w:r>
    </w:p>
    <w:p w:rsidR="0080622B" w:rsidRPr="007A4CE4" w:rsidRDefault="007A4CE4" w:rsidP="00A60A70">
      <w:pPr>
        <w:keepNext/>
        <w:spacing w:after="240"/>
        <w:outlineLvl w:val="0"/>
        <w:rPr>
          <w:rStyle w:val="Strong"/>
        </w:rPr>
      </w:pPr>
      <w:r>
        <w:rPr>
          <w:rStyle w:val="Strong"/>
        </w:rPr>
        <w:t>Monitoring Sufficiency</w:t>
      </w:r>
    </w:p>
    <w:p w:rsidR="0080622B" w:rsidRPr="00F84D42" w:rsidRDefault="0080622B" w:rsidP="00A60A70">
      <w:pPr>
        <w:spacing w:after="240"/>
        <w:rPr>
          <w:iCs/>
        </w:rPr>
      </w:pPr>
      <w:r w:rsidRPr="00F84D42">
        <w:rPr>
          <w:iCs/>
        </w:rPr>
        <w:t xml:space="preserve">Federal </w:t>
      </w:r>
      <w:r>
        <w:rPr>
          <w:iCs/>
        </w:rPr>
        <w:t>and state rules, 40 CFR § 70.6(a</w:t>
      </w:r>
      <w:r w:rsidR="007F698A">
        <w:rPr>
          <w:iCs/>
        </w:rPr>
        <w:t>)(3)(</w:t>
      </w:r>
      <w:proofErr w:type="spellStart"/>
      <w:r w:rsidR="007F698A">
        <w:rPr>
          <w:iCs/>
        </w:rPr>
        <w:t>i</w:t>
      </w:r>
      <w:proofErr w:type="spellEnd"/>
      <w:r w:rsidRPr="00F84D42">
        <w:rPr>
          <w:iCs/>
        </w:rPr>
        <w:t xml:space="preserve">)(B) and 30 TAC § 122.142(c) respectively, require that each federal operating permit include additional monitoring for applicable requirements that lack periodic or instrumental monitoring (which may include recordkeeping that serves as monitoring) </w:t>
      </w:r>
      <w:r>
        <w:rPr>
          <w:iCs/>
        </w:rPr>
        <w:t>that</w:t>
      </w:r>
      <w:r w:rsidRPr="00F84D42">
        <w:rPr>
          <w:iCs/>
        </w:rPr>
        <w:t xml:space="preserve"> yield</w:t>
      </w:r>
      <w:r>
        <w:rPr>
          <w:iCs/>
        </w:rPr>
        <w:t>s reliable data from a relevant time period that are</w:t>
      </w:r>
      <w:r w:rsidRPr="00F84D42">
        <w:rPr>
          <w:iCs/>
        </w:rPr>
        <w:t xml:space="preserve"> repre</w:t>
      </w:r>
      <w:r>
        <w:rPr>
          <w:iCs/>
        </w:rPr>
        <w:t>sentative of the emission unit</w:t>
      </w:r>
      <w:r w:rsidR="003C1FA9">
        <w:rPr>
          <w:iCs/>
        </w:rPr>
        <w:t>’</w:t>
      </w:r>
      <w:r w:rsidRPr="00F84D42">
        <w:rPr>
          <w:iCs/>
        </w:rPr>
        <w:t xml:space="preserve">s compliance with the applicable emission limitation or standard.  Furthermore, the federal operating permit must include </w:t>
      </w:r>
      <w:r>
        <w:rPr>
          <w:iCs/>
        </w:rPr>
        <w:t>compliance assurance monitoring (</w:t>
      </w:r>
      <w:r w:rsidRPr="00F84D42">
        <w:rPr>
          <w:iCs/>
        </w:rPr>
        <w:t>CAM</w:t>
      </w:r>
      <w:r>
        <w:rPr>
          <w:iCs/>
        </w:rPr>
        <w:t>)</w:t>
      </w:r>
      <w:r w:rsidRPr="00F84D42">
        <w:rPr>
          <w:iCs/>
        </w:rPr>
        <w:t xml:space="preserve"> requirements for emission sources that meet the applicability criteria of 40 CFR Part 64 in</w:t>
      </w:r>
      <w:r>
        <w:rPr>
          <w:iCs/>
        </w:rPr>
        <w:t xml:space="preserve"> accordance with 40 CFR § 70.6(a</w:t>
      </w:r>
      <w:r w:rsidRPr="00F84D42">
        <w:rPr>
          <w:iCs/>
        </w:rPr>
        <w:t>)(3)(</w:t>
      </w:r>
      <w:proofErr w:type="spellStart"/>
      <w:r w:rsidRPr="00F84D42">
        <w:rPr>
          <w:iCs/>
        </w:rPr>
        <w:t>i</w:t>
      </w:r>
      <w:proofErr w:type="spellEnd"/>
      <w:r w:rsidRPr="00F84D42">
        <w:rPr>
          <w:iCs/>
        </w:rPr>
        <w:t>)(A) and 30 TAC § 122.604(b).</w:t>
      </w:r>
    </w:p>
    <w:p w:rsidR="0080622B" w:rsidRPr="008738C6" w:rsidRDefault="0080622B" w:rsidP="00A60A70">
      <w:pPr>
        <w:spacing w:after="240"/>
        <w:rPr>
          <w:iCs/>
        </w:rPr>
      </w:pPr>
      <w:proofErr w:type="gramStart"/>
      <w:r w:rsidRPr="00F84D42">
        <w:rPr>
          <w:iCs/>
        </w:rPr>
        <w:t>With the exception of</w:t>
      </w:r>
      <w:proofErr w:type="gramEnd"/>
      <w:r w:rsidRPr="00F84D42">
        <w:rPr>
          <w:iCs/>
        </w:rPr>
        <w:t xml:space="preserve"> any emission units listed in the Periodic Monitoring or CAM Summaries in the FOP, the </w:t>
      </w:r>
      <w:r>
        <w:rPr>
          <w:iCs/>
        </w:rPr>
        <w:t xml:space="preserve">TCEQ </w:t>
      </w:r>
      <w:r w:rsidRPr="00F84D42">
        <w:rPr>
          <w:iCs/>
        </w:rPr>
        <w:t>Executive Director has determined that the permit contains sufficient monitoring</w:t>
      </w:r>
      <w:r>
        <w:rPr>
          <w:iCs/>
        </w:rPr>
        <w:t>, testing, recordkeeping, and</w:t>
      </w:r>
      <w:r w:rsidRPr="00F84D42">
        <w:rPr>
          <w:iCs/>
        </w:rPr>
        <w:t xml:space="preserve"> </w:t>
      </w:r>
      <w:r>
        <w:rPr>
          <w:iCs/>
        </w:rPr>
        <w:t>reporting</w:t>
      </w:r>
      <w:r w:rsidRPr="00F84D42">
        <w:rPr>
          <w:iCs/>
        </w:rPr>
        <w:t xml:space="preserve"> requirements that assure compliance with the applicable requirements.  If applicable, each emissi</w:t>
      </w:r>
      <w:r>
        <w:rPr>
          <w:iCs/>
        </w:rPr>
        <w:t xml:space="preserve">on unit that requires additional monitoring in the form of </w:t>
      </w:r>
      <w:r w:rsidRPr="00F84D42">
        <w:rPr>
          <w:iCs/>
        </w:rPr>
        <w:t>periodi</w:t>
      </w:r>
      <w:r>
        <w:rPr>
          <w:iCs/>
        </w:rPr>
        <w:t xml:space="preserve">c monitoring or CAM </w:t>
      </w:r>
      <w:r w:rsidRPr="00F84D42">
        <w:rPr>
          <w:iCs/>
        </w:rPr>
        <w:t>is described in further detail under the Rationale for CAM/PM Methods Selected section following this paragraph.</w:t>
      </w:r>
    </w:p>
    <w:p w:rsidR="007E3F05" w:rsidRDefault="007E3F05" w:rsidP="00A60A70">
      <w:pPr>
        <w:spacing w:after="240"/>
        <w:outlineLvl w:val="0"/>
        <w:rPr>
          <w:rStyle w:val="Strong"/>
        </w:rPr>
      </w:pPr>
      <w:r w:rsidRPr="007A4CE4">
        <w:rPr>
          <w:rStyle w:val="Strong"/>
        </w:rPr>
        <w:t>R</w:t>
      </w:r>
      <w:r w:rsidR="007A4CE4">
        <w:rPr>
          <w:rStyle w:val="Strong"/>
        </w:rPr>
        <w:t>ationale</w:t>
      </w:r>
      <w:r w:rsidRPr="007A4CE4">
        <w:rPr>
          <w:rStyle w:val="Strong"/>
        </w:rPr>
        <w:t xml:space="preserve"> </w:t>
      </w:r>
      <w:r w:rsidR="007A4CE4">
        <w:rPr>
          <w:rStyle w:val="Strong"/>
        </w:rPr>
        <w:t>for</w:t>
      </w:r>
      <w:r w:rsidRPr="007A4CE4">
        <w:rPr>
          <w:rStyle w:val="Strong"/>
        </w:rPr>
        <w:t xml:space="preserve"> C</w:t>
      </w:r>
      <w:r w:rsidR="007A4CE4">
        <w:rPr>
          <w:rStyle w:val="Strong"/>
        </w:rPr>
        <w:t>ompliance</w:t>
      </w:r>
      <w:r w:rsidRPr="007A4CE4">
        <w:rPr>
          <w:rStyle w:val="Strong"/>
        </w:rPr>
        <w:t xml:space="preserve"> A</w:t>
      </w:r>
      <w:r w:rsidR="007A4CE4">
        <w:rPr>
          <w:rStyle w:val="Strong"/>
        </w:rPr>
        <w:t>ssurance</w:t>
      </w:r>
      <w:r w:rsidRPr="007A4CE4">
        <w:rPr>
          <w:rStyle w:val="Strong"/>
        </w:rPr>
        <w:t xml:space="preserve"> M</w:t>
      </w:r>
      <w:r w:rsidR="007A4CE4">
        <w:rPr>
          <w:rStyle w:val="Strong"/>
        </w:rPr>
        <w:t>onitoring</w:t>
      </w:r>
      <w:r w:rsidR="008B0FD1" w:rsidRPr="007A4CE4">
        <w:rPr>
          <w:rStyle w:val="Strong"/>
        </w:rPr>
        <w:t xml:space="preserve"> (CAM)/ P</w:t>
      </w:r>
      <w:r w:rsidR="007A4CE4">
        <w:rPr>
          <w:rStyle w:val="Strong"/>
        </w:rPr>
        <w:t>eriodic</w:t>
      </w:r>
      <w:r w:rsidR="008B0FD1" w:rsidRPr="007A4CE4">
        <w:rPr>
          <w:rStyle w:val="Strong"/>
        </w:rPr>
        <w:t xml:space="preserve"> </w:t>
      </w:r>
      <w:r w:rsidRPr="007A4CE4">
        <w:rPr>
          <w:rStyle w:val="Strong"/>
        </w:rPr>
        <w:t>M</w:t>
      </w:r>
      <w:r w:rsidR="007A4CE4">
        <w:rPr>
          <w:rStyle w:val="Strong"/>
        </w:rPr>
        <w:t>onitoring</w:t>
      </w:r>
      <w:r w:rsidRPr="007A4CE4">
        <w:rPr>
          <w:rStyle w:val="Strong"/>
        </w:rPr>
        <w:t xml:space="preserve"> M</w:t>
      </w:r>
      <w:r w:rsidR="007A4CE4">
        <w:rPr>
          <w:rStyle w:val="Strong"/>
        </w:rPr>
        <w:t>ethods</w:t>
      </w:r>
      <w:r w:rsidRPr="007A4CE4">
        <w:rPr>
          <w:rStyle w:val="Strong"/>
        </w:rPr>
        <w:t xml:space="preserve"> S</w:t>
      </w:r>
      <w:r w:rsidR="007A4CE4">
        <w:rPr>
          <w:rStyle w:val="Strong"/>
        </w:rPr>
        <w:t>elected</w:t>
      </w:r>
    </w:p>
    <w:p w:rsidR="007E3F05" w:rsidRPr="00A30A71" w:rsidRDefault="007E3F05" w:rsidP="00A60A70">
      <w:pPr>
        <w:keepNext/>
        <w:spacing w:after="240"/>
        <w:outlineLvl w:val="0"/>
        <w:rPr>
          <w:rStyle w:val="Strong"/>
        </w:rPr>
      </w:pPr>
      <w:r w:rsidRPr="00A30A71">
        <w:rPr>
          <w:rStyle w:val="Strong"/>
        </w:rPr>
        <w:t>Compliance Assurance Monitoring (CAM):</w:t>
      </w:r>
    </w:p>
    <w:p w:rsidR="007E3F05" w:rsidRPr="008738C6" w:rsidRDefault="007E3F05" w:rsidP="00A60A70">
      <w:pPr>
        <w:spacing w:after="240"/>
        <w:rPr>
          <w:iCs/>
        </w:rPr>
      </w:pPr>
      <w:r w:rsidRPr="008738C6">
        <w:rPr>
          <w:iCs/>
        </w:rPr>
        <w:t>Compliance Assurance Monitoring (CAM) is a federal monitoring program established under Title 40 Code of Federal Regulations Part 64 (40 CFR Part 64).</w:t>
      </w:r>
    </w:p>
    <w:p w:rsidR="007E3F05" w:rsidRPr="008738C6" w:rsidRDefault="007E3F05" w:rsidP="00A60A70">
      <w:pPr>
        <w:keepNext/>
        <w:spacing w:after="240"/>
        <w:rPr>
          <w:iCs/>
        </w:rPr>
      </w:pPr>
      <w:r w:rsidRPr="008738C6">
        <w:rPr>
          <w:iCs/>
        </w:rPr>
        <w:t>Emission units are subject to CAM requirements if they meet the following criteria:</w:t>
      </w:r>
    </w:p>
    <w:p w:rsidR="007E3F05" w:rsidRPr="008738C6" w:rsidRDefault="007E3F05" w:rsidP="00A60A70">
      <w:pPr>
        <w:tabs>
          <w:tab w:val="left" w:pos="576"/>
        </w:tabs>
        <w:spacing w:after="240"/>
        <w:ind w:left="570" w:hanging="570"/>
        <w:rPr>
          <w:iCs/>
        </w:rPr>
      </w:pPr>
      <w:r w:rsidRPr="008738C6">
        <w:rPr>
          <w:iCs/>
        </w:rPr>
        <w:t>1.</w:t>
      </w:r>
      <w:r w:rsidRPr="008738C6">
        <w:rPr>
          <w:iCs/>
        </w:rPr>
        <w:tab/>
        <w:t>the emission unit is subject to an emission limitation or standard for an air pollutant (or surrogate thereof) in an applicable requirement;</w:t>
      </w:r>
    </w:p>
    <w:p w:rsidR="007E3F05" w:rsidRPr="008738C6" w:rsidRDefault="007E3F05" w:rsidP="00A60A70">
      <w:pPr>
        <w:tabs>
          <w:tab w:val="left" w:pos="576"/>
        </w:tabs>
        <w:spacing w:after="240"/>
        <w:ind w:left="570" w:hanging="570"/>
        <w:rPr>
          <w:iCs/>
        </w:rPr>
      </w:pPr>
      <w:r w:rsidRPr="008738C6">
        <w:rPr>
          <w:iCs/>
        </w:rPr>
        <w:t>2.</w:t>
      </w:r>
      <w:r w:rsidRPr="008738C6">
        <w:rPr>
          <w:iCs/>
        </w:rPr>
        <w:tab/>
        <w:t>the emission unit uses a control device to achieve compliance with the emission limitation or standard specified in the applicable requirement; and</w:t>
      </w:r>
    </w:p>
    <w:p w:rsidR="007E3F05" w:rsidRPr="008738C6" w:rsidRDefault="007E3F05" w:rsidP="00A60A70">
      <w:pPr>
        <w:tabs>
          <w:tab w:val="left" w:pos="576"/>
        </w:tabs>
        <w:spacing w:after="240"/>
        <w:ind w:left="570" w:hanging="570"/>
        <w:rPr>
          <w:iCs/>
        </w:rPr>
      </w:pPr>
      <w:r w:rsidRPr="008738C6">
        <w:rPr>
          <w:iCs/>
        </w:rPr>
        <w:t>3.</w:t>
      </w:r>
      <w:r w:rsidRPr="008738C6">
        <w:rPr>
          <w:iCs/>
        </w:rPr>
        <w:tab/>
        <w:t>the emission unit has the pre-control device potential to emit greater than or equal to the amount in tons per year for a site to be classified as a major source.</w:t>
      </w:r>
    </w:p>
    <w:p w:rsidR="00B11C1F" w:rsidRDefault="00B11C1F" w:rsidP="00A60A70">
      <w:pPr>
        <w:spacing w:after="240"/>
        <w:rPr>
          <w:iCs/>
        </w:rPr>
      </w:pPr>
    </w:p>
    <w:p w:rsidR="00B11C1F" w:rsidRDefault="00B11C1F" w:rsidP="00A60A70">
      <w:pPr>
        <w:spacing w:after="240"/>
        <w:rPr>
          <w:iCs/>
        </w:rPr>
      </w:pPr>
    </w:p>
    <w:p w:rsidR="00B11C1F" w:rsidRDefault="00B11C1F" w:rsidP="00A60A70">
      <w:pPr>
        <w:spacing w:after="240"/>
        <w:rPr>
          <w:iCs/>
        </w:rPr>
      </w:pPr>
    </w:p>
    <w:p w:rsidR="007E3F05" w:rsidRPr="008738C6" w:rsidRDefault="007E3F05" w:rsidP="00B11C1F">
      <w:pPr>
        <w:spacing w:after="240"/>
        <w:rPr>
          <w:iCs/>
        </w:rPr>
      </w:pPr>
      <w:r w:rsidRPr="008738C6">
        <w:rPr>
          <w:iCs/>
        </w:rPr>
        <w:t>The following table(s) identify the emission unit(s) that are subject to CAM:</w:t>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7E3F05" w:rsidRPr="00144E4D">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7E3F05" w:rsidRPr="00A30A71" w:rsidRDefault="00A30A71" w:rsidP="00DE1959">
            <w:pPr>
              <w:spacing w:before="49" w:after="66"/>
              <w:rPr>
                <w:rStyle w:val="Strong"/>
              </w:rPr>
            </w:pPr>
            <w:r>
              <w:rPr>
                <w:rStyle w:val="Strong"/>
              </w:rPr>
              <w:t>Unit/Group/Process</w:t>
            </w:r>
            <w:r w:rsidR="007E3F05" w:rsidRPr="00A30A71">
              <w:rPr>
                <w:rStyle w:val="Strong"/>
              </w:rPr>
              <w:t xml:space="preserve"> I</w:t>
            </w:r>
            <w:r>
              <w:rPr>
                <w:rStyle w:val="Strong"/>
              </w:rPr>
              <w:t>nformation</w:t>
            </w:r>
          </w:p>
        </w:tc>
      </w:tr>
      <w:tr w:rsidR="00B25A95" w:rsidRPr="00144E4D" w:rsidTr="0061230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B25A95" w:rsidRPr="00144E4D" w:rsidRDefault="00B25A95" w:rsidP="0057582F">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w:t>
            </w:r>
            <w:r w:rsidR="003C1FA9">
              <w:rPr>
                <w:iCs/>
                <w:szCs w:val="22"/>
              </w:rPr>
              <w:t>C-VENTGAS</w:t>
            </w:r>
          </w:p>
        </w:tc>
      </w:tr>
      <w:tr w:rsidR="007E3F05" w:rsidRPr="00144E4D">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7E3F05" w:rsidRPr="003C1FA9" w:rsidRDefault="003C1FA9"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7E3F05" w:rsidRPr="003C1FA9" w:rsidRDefault="003C1FA9"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7E3F05" w:rsidRPr="00144E4D">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7E3F05" w:rsidRPr="00DE1959" w:rsidRDefault="007E3F05" w:rsidP="00DE1959">
            <w:pPr>
              <w:spacing w:before="49" w:after="66"/>
              <w:rPr>
                <w:rStyle w:val="Strong"/>
              </w:rPr>
            </w:pPr>
            <w:r w:rsidRPr="00DE1959">
              <w:rPr>
                <w:rStyle w:val="Strong"/>
              </w:rPr>
              <w:t>A</w:t>
            </w:r>
            <w:r w:rsidR="00A30A71" w:rsidRPr="00DE1959">
              <w:rPr>
                <w:rStyle w:val="Strong"/>
              </w:rPr>
              <w:t>pplicable</w:t>
            </w:r>
            <w:r w:rsidRPr="00DE1959">
              <w:rPr>
                <w:rStyle w:val="Strong"/>
              </w:rPr>
              <w:t xml:space="preserve"> R</w:t>
            </w:r>
            <w:r w:rsidR="00A30A71" w:rsidRPr="00DE1959">
              <w:rPr>
                <w:rStyle w:val="Strong"/>
              </w:rPr>
              <w:t>egulatory</w:t>
            </w:r>
            <w:r w:rsidRPr="00DE1959">
              <w:rPr>
                <w:rStyle w:val="Strong"/>
              </w:rPr>
              <w:t xml:space="preserve"> R</w:t>
            </w:r>
            <w:r w:rsidR="00A30A71" w:rsidRPr="00DE1959">
              <w:rPr>
                <w:rStyle w:val="Strong"/>
              </w:rPr>
              <w:t>equirement</w:t>
            </w:r>
          </w:p>
        </w:tc>
      </w:tr>
      <w:tr w:rsidR="007E3F05" w:rsidRPr="00144E4D">
        <w:trPr>
          <w:cantSplit/>
        </w:trPr>
        <w:tc>
          <w:tcPr>
            <w:tcW w:w="5400" w:type="dxa"/>
            <w:tcBorders>
              <w:top w:val="single" w:sz="6" w:space="0" w:color="000000"/>
              <w:left w:val="double" w:sz="4" w:space="0" w:color="000000"/>
              <w:bottom w:val="nil"/>
              <w:right w:val="single" w:sz="6"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sidR="006E74C5">
              <w:rPr>
                <w:iCs/>
                <w:szCs w:val="22"/>
              </w:rPr>
              <w:t xml:space="preserve">  </w:t>
            </w:r>
            <w:r w:rsidR="003C1FA9">
              <w:rPr>
                <w:iCs/>
                <w:szCs w:val="22"/>
              </w:rPr>
              <w:t>30 TAC Chapter 115, Vent Gas Controls</w:t>
            </w:r>
          </w:p>
        </w:tc>
        <w:tc>
          <w:tcPr>
            <w:tcW w:w="5400" w:type="dxa"/>
            <w:tcBorders>
              <w:top w:val="single" w:sz="6" w:space="0" w:color="000000"/>
              <w:left w:val="nil"/>
              <w:bottom w:val="nil"/>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sidR="006E74C5">
              <w:rPr>
                <w:iCs/>
                <w:szCs w:val="22"/>
              </w:rPr>
              <w:t xml:space="preserve">  </w:t>
            </w:r>
            <w:r w:rsidR="003C1FA9">
              <w:rPr>
                <w:iCs/>
                <w:szCs w:val="22"/>
              </w:rPr>
              <w:t>R5121-10</w:t>
            </w:r>
          </w:p>
        </w:tc>
      </w:tr>
      <w:tr w:rsidR="007E3F05" w:rsidRPr="00144E4D">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sidR="006E74C5">
              <w:rPr>
                <w:iCs/>
                <w:szCs w:val="22"/>
              </w:rPr>
              <w:t xml:space="preserve">  </w:t>
            </w:r>
            <w:r w:rsidR="003C1FA9">
              <w:rPr>
                <w:iCs/>
                <w:szCs w:val="22"/>
              </w:rPr>
              <w:t>VOC</w:t>
            </w:r>
          </w:p>
        </w:tc>
        <w:tc>
          <w:tcPr>
            <w:tcW w:w="5400" w:type="dxa"/>
            <w:tcBorders>
              <w:top w:val="single" w:sz="6" w:space="0" w:color="000000"/>
              <w:left w:val="nil"/>
              <w:bottom w:val="single" w:sz="6" w:space="0" w:color="000000"/>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sidR="006E74C5">
              <w:rPr>
                <w:iCs/>
                <w:szCs w:val="22"/>
              </w:rPr>
              <w:t xml:space="preserve">  </w:t>
            </w:r>
            <w:r w:rsidR="003C1FA9">
              <w:rPr>
                <w:iCs/>
                <w:szCs w:val="22"/>
              </w:rPr>
              <w:t>§ 115.122(c)(1)</w:t>
            </w:r>
          </w:p>
        </w:tc>
      </w:tr>
      <w:tr w:rsidR="007E3F05" w:rsidRPr="00144E4D">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7E3F05" w:rsidRPr="00A30A71" w:rsidRDefault="007E3F05" w:rsidP="00A30A71">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sidR="00A30A71">
              <w:rPr>
                <w:rStyle w:val="Strong"/>
              </w:rPr>
              <w:t>onitoring</w:t>
            </w:r>
            <w:r w:rsidRPr="00A30A71">
              <w:rPr>
                <w:rStyle w:val="Strong"/>
              </w:rPr>
              <w:t xml:space="preserve"> I</w:t>
            </w:r>
            <w:r w:rsidR="00A30A71">
              <w:rPr>
                <w:rStyle w:val="Strong"/>
              </w:rPr>
              <w:t>nformation</w:t>
            </w:r>
          </w:p>
        </w:tc>
      </w:tr>
      <w:tr w:rsidR="007E3F05" w:rsidRPr="00144E4D">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sidR="006E74C5">
              <w:rPr>
                <w:iCs/>
                <w:szCs w:val="22"/>
              </w:rPr>
              <w:t xml:space="preserve">  </w:t>
            </w:r>
            <w:r w:rsidR="003C1FA9">
              <w:rPr>
                <w:iCs/>
                <w:szCs w:val="22"/>
              </w:rPr>
              <w:t>Combustion Temperature / Exhaust Gas Temperature</w:t>
            </w:r>
          </w:p>
        </w:tc>
      </w:tr>
      <w:tr w:rsidR="007E3F05" w:rsidRPr="00144E4D">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sidR="006E74C5">
              <w:rPr>
                <w:iCs/>
                <w:szCs w:val="22"/>
              </w:rPr>
              <w:t xml:space="preserve">  </w:t>
            </w:r>
            <w:r w:rsidR="003C1FA9">
              <w:rPr>
                <w:iCs/>
                <w:szCs w:val="22"/>
              </w:rPr>
              <w:t>once per day</w:t>
            </w:r>
          </w:p>
        </w:tc>
      </w:tr>
      <w:tr w:rsidR="007E3F05" w:rsidRPr="00144E4D">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sidR="006E74C5">
              <w:rPr>
                <w:iCs/>
                <w:szCs w:val="22"/>
              </w:rPr>
              <w:t xml:space="preserve">  </w:t>
            </w:r>
            <w:r w:rsidR="003C1FA9">
              <w:rPr>
                <w:iCs/>
                <w:szCs w:val="22"/>
              </w:rPr>
              <w:t>n/a</w:t>
            </w:r>
          </w:p>
        </w:tc>
      </w:tr>
      <w:tr w:rsidR="007E3F05" w:rsidRPr="00144E4D">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sidR="006E74C5">
              <w:rPr>
                <w:iCs/>
                <w:szCs w:val="22"/>
              </w:rPr>
              <w:t xml:space="preserve">  </w:t>
            </w:r>
            <w:r w:rsidR="003C1FA9">
              <w:rPr>
                <w:iCs/>
                <w:szCs w:val="22"/>
              </w:rPr>
              <w:t>A minimum combustion temperature of 1400 °F shall be maintained before establishing a minimum combustion temperature using the most recent performance test or stack testing data.</w:t>
            </w:r>
          </w:p>
        </w:tc>
      </w:tr>
      <w:tr w:rsidR="007E3F05" w:rsidRPr="00144E4D">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sidR="006E74C5">
              <w:rPr>
                <w:iCs/>
                <w:szCs w:val="22"/>
              </w:rPr>
              <w:t xml:space="preserve">  </w:t>
            </w:r>
            <w:r w:rsidR="003C1FA9">
              <w:rPr>
                <w:iCs/>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sidR="003C1FA9">
              <w:rPr>
                <w:iCs/>
                <w:szCs w:val="22"/>
              </w:rPr>
              <w:t>in order for</w:t>
            </w:r>
            <w:proofErr w:type="gramEnd"/>
            <w:r w:rsidR="003C1FA9">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B11C1F" w:rsidRDefault="00B11C1F" w:rsidP="00350B25">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C-VENTGAS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C-VENTGAS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sidRPr="00144E4D">
              <w:rPr>
                <w:iCs/>
                <w:szCs w:val="22"/>
              </w:rPr>
              <w:t>Deviation Limit:</w:t>
            </w:r>
            <w:r>
              <w:rPr>
                <w:iCs/>
                <w:szCs w:val="22"/>
              </w:rPr>
              <w:t xml:space="preserve">  If vent gas is being sent to the boiler and the boiler is not in operation, it shall be reported as a deviation.</w:t>
            </w:r>
          </w:p>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br w:type="page"/>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GBD05</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GBD05</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sidRPr="00144E4D">
              <w:rPr>
                <w:iCs/>
                <w:szCs w:val="22"/>
              </w:rPr>
              <w:t>Deviation Limit:</w:t>
            </w:r>
            <w:r>
              <w:rPr>
                <w:iCs/>
                <w:szCs w:val="22"/>
              </w:rPr>
              <w:t xml:space="preserve">  If vent gas is being sent to the boiler and the boiler is not in operation, it shall be reported as a deviation.</w:t>
            </w:r>
          </w:p>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br w:type="page"/>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GRPHON-PV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GRPHON-PV</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Default="003C1FA9" w:rsidP="003C1FA9">
      <w:pPr>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144E4D"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DE1959" w:rsidRDefault="003C1FA9" w:rsidP="003C1FA9">
            <w:pPr>
              <w:spacing w:before="49" w:after="66"/>
              <w:rPr>
                <w:rStyle w:val="Strong"/>
              </w:rPr>
            </w:pPr>
            <w:r w:rsidRPr="00DE1959">
              <w:rPr>
                <w:rStyle w:val="Strong"/>
              </w:rPr>
              <w:t>Applicable Regulatory Requirement</w:t>
            </w:r>
          </w:p>
        </w:tc>
      </w:tr>
      <w:tr w:rsidR="003C1FA9" w:rsidRPr="00144E4D"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3C1FA9" w:rsidRPr="00144E4D"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3C1FA9" w:rsidRPr="00144E4D"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3C1FA9" w:rsidRPr="00144E4D"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3C1FA9" w:rsidRPr="00144E4D"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Pr="00144E4D"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Default="003C1FA9" w:rsidP="003C1FA9">
      <w:pPr>
        <w:rPr>
          <w:iCs/>
        </w:rPr>
      </w:pPr>
    </w:p>
    <w:p w:rsidR="003050E0" w:rsidRDefault="003050E0">
      <w:pPr>
        <w:autoSpaceDE/>
        <w:autoSpaceDN/>
        <w:adjustRightInd/>
        <w:rPr>
          <w:iCs/>
        </w:rPr>
      </w:pPr>
    </w:p>
    <w:p w:rsidR="00350B25" w:rsidRDefault="00350B25">
      <w:pPr>
        <w:autoSpaceDE/>
        <w:autoSpaceDN/>
        <w:adjustRightInd/>
        <w:rPr>
          <w:iCs/>
        </w:rPr>
      </w:pPr>
    </w:p>
    <w:p w:rsidR="003050E0" w:rsidRPr="008738C6" w:rsidRDefault="003050E0" w:rsidP="00A60A70">
      <w:pPr>
        <w:spacing w:after="240"/>
        <w:rPr>
          <w:iCs/>
        </w:rPr>
      </w:pPr>
    </w:p>
    <w:p w:rsidR="00C7471A" w:rsidRPr="00A30A71" w:rsidRDefault="00C7471A" w:rsidP="00A60A70">
      <w:pPr>
        <w:keepNext/>
        <w:spacing w:after="240"/>
        <w:outlineLvl w:val="0"/>
        <w:rPr>
          <w:rStyle w:val="Strong"/>
        </w:rPr>
      </w:pPr>
      <w:r w:rsidRPr="00A30A71">
        <w:rPr>
          <w:rStyle w:val="Strong"/>
        </w:rPr>
        <w:t>Periodic Monitoring:</w:t>
      </w:r>
    </w:p>
    <w:p w:rsidR="00C7471A" w:rsidRDefault="00C7471A" w:rsidP="00A60A70">
      <w:pPr>
        <w:spacing w:after="240"/>
        <w:rPr>
          <w:iCs/>
        </w:rPr>
      </w:pPr>
      <w:r w:rsidRPr="008738C6">
        <w:rPr>
          <w:iCs/>
        </w:rPr>
        <w:t xml:space="preserve">The Federal Clean Air Act requires that each federal operating permit include monitoring </w:t>
      </w:r>
      <w:proofErr w:type="gramStart"/>
      <w:r w:rsidRPr="008738C6">
        <w:rPr>
          <w:iCs/>
        </w:rPr>
        <w:t>sufficient</w:t>
      </w:r>
      <w:proofErr w:type="gramEnd"/>
      <w:r w:rsidRPr="008738C6">
        <w:rPr>
          <w:iCs/>
        </w:rPr>
        <w:t xml:space="preserve"> to assure compliance with the terms and conditions of the permit.  Most of the emission limits and standards applicable to emission units at Title V sources include adequate monitoring to show that the units meet the limits and standards.  For those requirements that do not include monitoring, or where the monitoring is not </w:t>
      </w:r>
      <w:proofErr w:type="gramStart"/>
      <w:r w:rsidRPr="008738C6">
        <w:rPr>
          <w:iCs/>
        </w:rPr>
        <w:t>sufficient</w:t>
      </w:r>
      <w:proofErr w:type="gramEnd"/>
      <w:r w:rsidRPr="008738C6">
        <w:rPr>
          <w:iCs/>
        </w:rPr>
        <w:t xml:space="preserve"> to assure compliance, the federal operating permit must include such monitoring for</w:t>
      </w:r>
      <w:r>
        <w:rPr>
          <w:iCs/>
        </w:rPr>
        <w:t xml:space="preserve"> the emission units affected.  </w:t>
      </w:r>
      <w:r w:rsidRPr="008738C6">
        <w:rPr>
          <w:iCs/>
        </w:rPr>
        <w:t>The following emission units are subject to periodic monitoring requirements because the emission units are subject to an emission limitation or standard for an air pollutant (or surrogate thereof) in an applicable requirement that does not already require monitoring, or the monitoring for the applicable requirement is not sufficient to assure compliance:</w:t>
      </w:r>
    </w:p>
    <w:p w:rsidR="00952307" w:rsidRPr="008738C6" w:rsidRDefault="00952307" w:rsidP="00A60A70">
      <w:pPr>
        <w:spacing w:after="240"/>
        <w:rPr>
          <w:iCs/>
        </w:rPr>
      </w:pP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C7471A" w:rsidRPr="008738C6" w:rsidTr="00AB0DBB">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C7471A" w:rsidRPr="008738C6" w:rsidTr="00AB0DBB">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w:t>
            </w:r>
            <w:r w:rsidR="003C1FA9">
              <w:rPr>
                <w:iCs/>
                <w:szCs w:val="22"/>
              </w:rPr>
              <w:t>GAD03</w:t>
            </w:r>
          </w:p>
        </w:tc>
      </w:tr>
      <w:tr w:rsidR="00C7471A" w:rsidRPr="008738C6" w:rsidTr="00AB0DBB">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C7471A" w:rsidRPr="001D5F19" w:rsidRDefault="003C1FA9"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GAD09A-D</w:t>
            </w:r>
          </w:p>
        </w:tc>
        <w:tc>
          <w:tcPr>
            <w:tcW w:w="5400" w:type="dxa"/>
            <w:tcBorders>
              <w:top w:val="single" w:sz="6" w:space="0" w:color="000000"/>
              <w:left w:val="nil"/>
              <w:bottom w:val="single" w:sz="6" w:space="0" w:color="000000"/>
              <w:right w:val="double" w:sz="4" w:space="0" w:color="000000"/>
            </w:tcBorders>
            <w:shd w:val="clear" w:color="auto" w:fill="auto"/>
          </w:tcPr>
          <w:p w:rsidR="00C7471A" w:rsidRPr="003C1FA9" w:rsidRDefault="003C1FA9"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Carbon Adsorption System (Non-Regenerative)</w:t>
            </w:r>
          </w:p>
        </w:tc>
      </w:tr>
      <w:tr w:rsidR="00C7471A" w:rsidRPr="008738C6"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C7471A" w:rsidRPr="008738C6" w:rsidTr="00AB0DBB">
        <w:trPr>
          <w:cantSplit/>
        </w:trPr>
        <w:tc>
          <w:tcPr>
            <w:tcW w:w="5400" w:type="dxa"/>
            <w:tcBorders>
              <w:top w:val="single" w:sz="6" w:space="0" w:color="000000"/>
              <w:left w:val="double" w:sz="4" w:space="0" w:color="000000"/>
              <w:bottom w:val="nil"/>
              <w:right w:val="single" w:sz="6"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w:t>
            </w:r>
            <w:r w:rsidR="003C1FA9">
              <w:rPr>
                <w:iCs/>
                <w:szCs w:val="22"/>
              </w:rPr>
              <w:t>30 TAC Chapter 115, Storage of VOCs</w:t>
            </w:r>
          </w:p>
        </w:tc>
        <w:tc>
          <w:tcPr>
            <w:tcW w:w="5400" w:type="dxa"/>
            <w:tcBorders>
              <w:top w:val="single" w:sz="6" w:space="0" w:color="000000"/>
              <w:left w:val="nil"/>
              <w:bottom w:val="nil"/>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w:t>
            </w:r>
            <w:r w:rsidR="003C1FA9">
              <w:rPr>
                <w:iCs/>
                <w:szCs w:val="22"/>
              </w:rPr>
              <w:t>R5112-14</w:t>
            </w:r>
          </w:p>
        </w:tc>
      </w:tr>
      <w:tr w:rsidR="00C7471A" w:rsidRPr="008738C6" w:rsidTr="00AB0DBB">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w:t>
            </w:r>
            <w:r w:rsidR="003C1FA9">
              <w:rPr>
                <w:iCs/>
                <w:szCs w:val="22"/>
              </w:rPr>
              <w:t>VOC</w:t>
            </w:r>
          </w:p>
        </w:tc>
        <w:tc>
          <w:tcPr>
            <w:tcW w:w="5400" w:type="dxa"/>
            <w:tcBorders>
              <w:top w:val="single" w:sz="6" w:space="0" w:color="000000"/>
              <w:left w:val="nil"/>
              <w:bottom w:val="single" w:sz="6" w:space="0" w:color="000000"/>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w:t>
            </w:r>
            <w:r w:rsidR="003C1FA9">
              <w:rPr>
                <w:iCs/>
                <w:szCs w:val="22"/>
              </w:rPr>
              <w:t>§ 115.112(c)(1)</w:t>
            </w:r>
          </w:p>
        </w:tc>
      </w:tr>
      <w:tr w:rsidR="00C7471A" w:rsidRPr="008738C6" w:rsidTr="00AB0DBB">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C7471A" w:rsidRPr="008738C6"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w:t>
            </w:r>
            <w:r w:rsidR="003C1FA9">
              <w:rPr>
                <w:iCs/>
                <w:szCs w:val="22"/>
              </w:rPr>
              <w:t>Carbon Replacement Interval</w:t>
            </w:r>
          </w:p>
        </w:tc>
      </w:tr>
      <w:tr w:rsidR="00C7471A" w:rsidRPr="008738C6"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w:t>
            </w:r>
            <w:r w:rsidR="003C1FA9">
              <w:rPr>
                <w:iCs/>
                <w:szCs w:val="22"/>
              </w:rPr>
              <w:t>At each replacement of carbon canister</w:t>
            </w:r>
          </w:p>
        </w:tc>
      </w:tr>
      <w:tr w:rsidR="00C7471A" w:rsidRPr="008738C6"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w:t>
            </w:r>
            <w:r w:rsidR="003C1FA9">
              <w:rPr>
                <w:iCs/>
                <w:szCs w:val="22"/>
              </w:rPr>
              <w:t>n/a</w:t>
            </w:r>
          </w:p>
        </w:tc>
      </w:tr>
      <w:tr w:rsidR="00C7471A" w:rsidRPr="008738C6"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w:t>
            </w:r>
            <w:r w:rsidR="003C1FA9">
              <w:rPr>
                <w:iCs/>
                <w:szCs w:val="22"/>
              </w:rPr>
              <w:t>A deviation shall be reported if the carbon is not replaced within the maximum replacement interval.</w:t>
            </w:r>
          </w:p>
        </w:tc>
      </w:tr>
      <w:tr w:rsidR="00C7471A" w:rsidRPr="008738C6" w:rsidTr="00AB0DBB">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C7471A"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C7471A" w:rsidRPr="00011103" w:rsidRDefault="003C1FA9" w:rsidP="00AB0DBB">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monitor a non-regenerative carbon adsorption system is by measuring the time intervals of the carbon canister replacement.  The replacement interval may be determined by performance tests, manufacturer’s recommendations, engineering calculations and/or historical data.  Monitoring the carbon replacement interval of a carbon adsorption system is commonly required in federal and state rules, including: 40 CFR Part 60, Subpart QQQ; 40 CFR Part 61, Subpart FF; 40 CFR Part 63, Subparts EE, HH, and MMM; and 30 TAC Chapter 115.</w:t>
            </w:r>
          </w:p>
        </w:tc>
      </w:tr>
    </w:tbl>
    <w:p w:rsidR="00C7471A" w:rsidRPr="008738C6" w:rsidRDefault="00C7471A" w:rsidP="00C7471A">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GBX02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GRPBLRSTK</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GRPFURNSTK</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br w:type="page"/>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R5112-25</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GRPSKIMMER</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ZWSRCO1A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Catalytic Incinerator</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ZWSRCO1B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Catalytic Incinerator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Water Separation</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R5131-2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115.132(c)(3)</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700 °F shall be maintained before establishing a minimum combustion temperature using the most recent performance test or stack testing data.</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RAD02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UFF01A</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UFF01B</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ZMTK01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R5112-4</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Structural Integrity of the Pipe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Emptied and degassed</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repairs are not completed prior to refilling the storage vessel.</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The periodic monitoring option provided for emission units using a submerged fill pipe is location of the submerged fill pipe and structural integrity of the pipe. The location and the integrity of the pipe ensure that loading operations are controlled to prevent splash fill and reduce generated vapors; therefore, less emissions are released to the atmosphere. This approach was included as an option by the EPA in the “Periodic Monitoring Technical Reference Document” (April 1999) to monitor VOC sources.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ZMTK01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R5112-4</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Record of Tank Construction Specifications</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keep a record of the tank construction specifications.</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The periodic monitoring option provided for emission units using a submerged fill pipe is location of the submerged fill pipe and structural integrity of the pipe. The location and the integrity of the pipe ensure that loading operations are controlled to prevent splash fill and reduce generated vapors; therefore, less emissions are released to the atmosphere. This approach was included as an option by the EPA in the “Periodic Monitoring Technical Reference Document” (April 1999) to monitor VOC sources.</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R5112-26</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R5112-27</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R5112-30</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VOC Concentration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year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measure and record the fugitive emissions from the vapor collection system annually.</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VOC concentration at the outlet of a control device by use of a portable analyzer with procedures such as EPA Test Method 25A or a VOC CEMS.  The measured concentration along with stack flow rate or AP-42 factors and fuel consumption records may be used to demonstrate compliance with an underlying emission limit or standard.  Outlet VOC concentration has been used as an indicator of VOC emissions in many federal rules including 40 CFR Part 60, Subpart III, 40 CFR Part 60, Subpart NNN, 40 CFR Part 60, Subpart RRR, 40 CFR Part 61, Subpart BB, 40 CFR Part 61, Subpart FF, 40 CFR Part 63, Subpart R, 40 CFR Part 63, Subpart DD, and 40 CFR Part 63, Subpart HH.</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Visual Inspection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year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perform a visual inspection annually.</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use work practice as a monitoring option to demonstrate compliance.  Preventive maintenance and visual inspections of control equipment, as recommended by the manufacturer, conducted by the owner or operator can ensure that the unit is operating properly. The work practice requirements prescribe that preventive maintenance and/or visual inspections be performed and recorded in a log.  This option assures that the owner or operator is adequately maintaining the control equipment.</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60Kb-23A</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60Kb-23B</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ZTD12</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Water Separation</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R5131-1</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115.132(c)(1)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VOC Concentration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any monitoring data greater than the maximum VOC limit of 10,000 </w:t>
            </w:r>
            <w:proofErr w:type="spellStart"/>
            <w:r>
              <w:rPr>
                <w:iCs/>
                <w:szCs w:val="22"/>
              </w:rPr>
              <w:t>ppmv</w:t>
            </w:r>
            <w:proofErr w:type="spellEnd"/>
            <w:r>
              <w:rPr>
                <w:iCs/>
                <w:szCs w:val="22"/>
              </w:rPr>
              <w:t>.</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VOC concentration at the outlet of a control device by use of a portable analyzer with procedures such as EPA Test Method 25A or a VOC CEMS.  The measured concentration along with stack flow rate or AP-42 factors and fuel consumption records may be used to demonstrate compliance with an underlying emission limit or standard.  Outlet VOC concentration has been used as an indicator of VOC emissions in many federal rules including 40 CFR Part 60, Subpart III, 40 CFR Part 60, Subpart NNN, 40 CFR Part 60, Subpart RRR, 40 CFR Part 61, Subpart BB, 40 CFR Part 61, Subpart FF, 40 CFR Part 63, Subpart R, 40 CFR Part 63, Subpart DD, and 40 CFR Part 63, Subpart HH.</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ZTTK04</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R5112-20</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Internal Floating Roof</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roof is not floating on the surface of the VOC, if liquid has accumulated on the internal floating roof, the seals are detached, or if there are holes or tears in the seal fabric.</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monitor VOC emissions by visually inspecting the external floating roof or the internal floating roof was included as an option by the EPA in the “Periodic Monitoring Technical Reference Document” (April 1999) to monitor VOC sources.  If the external or internal floating roof is operating in accordance with its </w:t>
            </w:r>
            <w:proofErr w:type="gramStart"/>
            <w:r>
              <w:rPr>
                <w:szCs w:val="22"/>
              </w:rPr>
              <w:t>design</w:t>
            </w:r>
            <w:proofErr w:type="gramEnd"/>
            <w:r>
              <w:rPr>
                <w:szCs w:val="22"/>
              </w:rPr>
              <w:t xml:space="preserve"> it will meet its control efficiency. Visually inspecting the external floating roof or the internal floating roof is commonly required in federal and state rules, including: 40 CFR Part 60, Subpart </w:t>
            </w:r>
            <w:proofErr w:type="spellStart"/>
            <w:r>
              <w:rPr>
                <w:szCs w:val="22"/>
              </w:rPr>
              <w:t>Kb</w:t>
            </w:r>
            <w:proofErr w:type="spellEnd"/>
            <w:r>
              <w:rPr>
                <w:szCs w:val="22"/>
              </w:rPr>
              <w:t xml:space="preserve">; 40 CFR Part 61, Subpart Y; and 30 TAC Chapter 115. Measuring and recording the accumulated area of gaps if the tank is equipped with primary seals is commonly required in federal and state rules, including: 40 CFR Part 60, Subpart </w:t>
            </w:r>
            <w:proofErr w:type="spellStart"/>
            <w:r>
              <w:rPr>
                <w:szCs w:val="22"/>
              </w:rPr>
              <w:t>Kb</w:t>
            </w:r>
            <w:proofErr w:type="spellEnd"/>
            <w:r>
              <w:rPr>
                <w:szCs w:val="22"/>
              </w:rPr>
              <w:t>; 40 CFR Part 61, Subpart Y; 40 CFR 63 Subparts VV, DD, and MMM; and 30 TAC Chapter 115.</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3C1FA9" w:rsidRDefault="003C1FA9">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3C1FA9" w:rsidRPr="008738C6" w:rsidTr="003C1FA9">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ZTTK05</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1D5F1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3C1FA9" w:rsidRPr="008738C6" w:rsidTr="003C1FA9">
        <w:trPr>
          <w:cantSplit/>
        </w:trPr>
        <w:tc>
          <w:tcPr>
            <w:tcW w:w="5400" w:type="dxa"/>
            <w:tcBorders>
              <w:top w:val="single" w:sz="6" w:space="0" w:color="000000"/>
              <w:left w:val="double" w:sz="4" w:space="0" w:color="000000"/>
              <w:bottom w:val="nil"/>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R5112-20</w:t>
            </w:r>
          </w:p>
        </w:tc>
      </w:tr>
      <w:tr w:rsidR="003C1FA9" w:rsidRPr="008738C6" w:rsidTr="003C1FA9">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3C1FA9" w:rsidRPr="008738C6" w:rsidTr="003C1FA9">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rsidR="003C1FA9" w:rsidRPr="00A30A71"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Internal Floating Roof</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3C1FA9" w:rsidRPr="008738C6" w:rsidTr="003C1FA9">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roof is not floating on the surface of the VOC, if liquid has accumulated on the internal floating roof, the seals are detached, or if there are holes or tears in the seal fabric.</w:t>
            </w:r>
          </w:p>
        </w:tc>
      </w:tr>
      <w:tr w:rsidR="003C1FA9" w:rsidRPr="008738C6" w:rsidTr="003C1FA9">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rsidR="003C1FA9"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rsidR="003C1FA9" w:rsidRPr="00011103" w:rsidRDefault="003C1FA9" w:rsidP="003C1FA9">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monitor VOC emissions by visually inspecting the external floating roof or the internal floating roof was included as an option by the EPA in the “Periodic Monitoring Technical Reference Document” (April 1999) to monitor VOC sources.  If the external or internal floating roof is operating in accordance with its </w:t>
            </w:r>
            <w:proofErr w:type="gramStart"/>
            <w:r>
              <w:rPr>
                <w:szCs w:val="22"/>
              </w:rPr>
              <w:t>design</w:t>
            </w:r>
            <w:proofErr w:type="gramEnd"/>
            <w:r>
              <w:rPr>
                <w:szCs w:val="22"/>
              </w:rPr>
              <w:t xml:space="preserve"> it will meet its control efficiency. Visually inspecting the external floating roof or the internal floating roof is commonly required in federal and state rules, including: 40 CFR Part 60, Subpart </w:t>
            </w:r>
            <w:proofErr w:type="spellStart"/>
            <w:r>
              <w:rPr>
                <w:szCs w:val="22"/>
              </w:rPr>
              <w:t>Kb</w:t>
            </w:r>
            <w:proofErr w:type="spellEnd"/>
            <w:r>
              <w:rPr>
                <w:szCs w:val="22"/>
              </w:rPr>
              <w:t xml:space="preserve">; 40 CFR Part 61, Subpart Y; and 30 TAC Chapter 115. Measuring and recording the accumulated area of gaps if the tank is equipped with primary seals is commonly required in federal and state rules, including: 40 CFR Part 60, Subpart </w:t>
            </w:r>
            <w:proofErr w:type="spellStart"/>
            <w:r>
              <w:rPr>
                <w:szCs w:val="22"/>
              </w:rPr>
              <w:t>Kb</w:t>
            </w:r>
            <w:proofErr w:type="spellEnd"/>
            <w:r>
              <w:rPr>
                <w:szCs w:val="22"/>
              </w:rPr>
              <w:t>; 40 CFR Part 61, Subpart Y; 40 CFR 63 Subparts VV, DD, and MMM; and 30 TAC Chapter 115.</w:t>
            </w:r>
          </w:p>
        </w:tc>
      </w:tr>
    </w:tbl>
    <w:p w:rsidR="003C1FA9" w:rsidRPr="008738C6" w:rsidRDefault="003C1FA9" w:rsidP="003C1FA9">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C7471A" w:rsidRPr="008738C6" w:rsidRDefault="00C7471A" w:rsidP="00C7471A">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rsidR="005D49E5" w:rsidRPr="005D49E5" w:rsidRDefault="007E3F05" w:rsidP="005D49E5">
      <w:pPr>
        <w:rPr>
          <w:rFonts w:cs="Arial"/>
          <w:b/>
          <w:iCs/>
          <w:szCs w:val="20"/>
        </w:rPr>
      </w:pPr>
      <w:r w:rsidRPr="008738C6">
        <w:br w:type="page"/>
      </w:r>
      <w:r w:rsidR="005D49E5" w:rsidRPr="005D49E5">
        <w:rPr>
          <w:rFonts w:cs="Arial"/>
          <w:b/>
          <w:iCs/>
          <w:szCs w:val="20"/>
        </w:rPr>
        <w:lastRenderedPageBreak/>
        <w:t>Obtaining Permit Documents</w:t>
      </w:r>
    </w:p>
    <w:p w:rsidR="005D49E5" w:rsidRPr="005D49E5" w:rsidRDefault="005D49E5" w:rsidP="005D49E5">
      <w:pPr>
        <w:spacing w:before="100" w:beforeAutospacing="1" w:after="100" w:afterAutospacing="1"/>
        <w:rPr>
          <w:rFonts w:cs="Arial"/>
          <w:szCs w:val="20"/>
        </w:rPr>
      </w:pPr>
      <w:r w:rsidRPr="005D49E5">
        <w:rPr>
          <w:rFonts w:cs="Arial"/>
          <w:bCs/>
          <w:szCs w:val="20"/>
        </w:rPr>
        <w:t xml:space="preserve">The New Source Review Authorization References table in the FOP specifies all NSR authorizations that apply at the permit area covered by the FOP.  </w:t>
      </w:r>
      <w:r w:rsidRPr="005D49E5">
        <w:rPr>
          <w:rFonts w:cs="Arial"/>
          <w:szCs w:val="20"/>
        </w:rPr>
        <w:t xml:space="preserve">Individual NSR permitting files </w:t>
      </w:r>
      <w:proofErr w:type="gramStart"/>
      <w:r w:rsidRPr="005D49E5">
        <w:rPr>
          <w:rFonts w:cs="Arial"/>
          <w:szCs w:val="20"/>
        </w:rPr>
        <w:t>are located in</w:t>
      </w:r>
      <w:proofErr w:type="gramEnd"/>
      <w:r w:rsidRPr="005D49E5">
        <w:rPr>
          <w:rFonts w:cs="Arial"/>
          <w:szCs w:val="20"/>
        </w:rPr>
        <w:t xml:space="preserve"> the TCEQ Central File Room (TCEQ Main Campus located at 12100 Park 35 Circle, Austin, Texas, 78753, Building E, Room 103).  They can also be obtained electronically from TCEQ</w:t>
      </w:r>
      <w:r w:rsidR="003C1FA9">
        <w:rPr>
          <w:rFonts w:cs="Arial"/>
          <w:szCs w:val="20"/>
        </w:rPr>
        <w:t>’</w:t>
      </w:r>
      <w:r w:rsidRPr="005D49E5">
        <w:rPr>
          <w:rFonts w:cs="Arial"/>
          <w:szCs w:val="20"/>
        </w:rPr>
        <w:t>s Central File Room Online (</w:t>
      </w:r>
      <w:hyperlink r:id="rId15" w:history="1">
        <w:r w:rsidR="003C1FA9">
          <w:rPr>
            <w:rFonts w:cs="Arial"/>
            <w:color w:val="0000FF"/>
            <w:szCs w:val="20"/>
            <w:u w:val="single"/>
          </w:rPr>
          <w:t>https://www.tceq.texas.gov/goto/cfr-online</w:t>
        </w:r>
      </w:hyperlink>
      <w:r w:rsidRPr="005D49E5">
        <w:rPr>
          <w:rFonts w:cs="Arial"/>
          <w:szCs w:val="20"/>
        </w:rPr>
        <w:t xml:space="preserve">).  Guidance documents that describe how to search electronic records, including Permits by Rule (PBRs) or NSR permits incorporated by reference into an FOP, archived in the Central File Room server are available at </w:t>
      </w:r>
      <w:hyperlink r:id="rId16" w:history="1">
        <w:r w:rsidR="003C1FA9">
          <w:rPr>
            <w:rFonts w:cs="Arial"/>
            <w:color w:val="0000FF"/>
            <w:szCs w:val="20"/>
            <w:u w:val="single"/>
          </w:rPr>
          <w:t>https://www.tceq.texas.gov/permitting/air/nav/air_status_permits.html</w:t>
        </w:r>
      </w:hyperlink>
    </w:p>
    <w:p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All current PBRs are contained in Chapter 106 and can be viewed at the following website:</w:t>
      </w:r>
    </w:p>
    <w:p w:rsidR="005D49E5" w:rsidRPr="005D49E5" w:rsidRDefault="005D49E5" w:rsidP="005D49E5">
      <w:pPr>
        <w:spacing w:before="100" w:beforeAutospacing="1" w:after="100" w:afterAutospacing="1"/>
        <w:contextualSpacing/>
        <w:rPr>
          <w:rFonts w:cs="Arial"/>
          <w:bCs/>
          <w:szCs w:val="20"/>
        </w:rPr>
      </w:pPr>
    </w:p>
    <w:p w:rsidR="005D49E5" w:rsidRPr="005D49E5" w:rsidRDefault="00952307" w:rsidP="005D49E5">
      <w:pPr>
        <w:autoSpaceDE/>
        <w:autoSpaceDN/>
        <w:adjustRightInd/>
        <w:spacing w:before="100" w:beforeAutospacing="1" w:after="100" w:afterAutospacing="1"/>
        <w:rPr>
          <w:rFonts w:cs="Arial"/>
          <w:bCs/>
          <w:szCs w:val="20"/>
        </w:rPr>
      </w:pPr>
      <w:hyperlink r:id="rId17" w:history="1">
        <w:r w:rsidR="003C1FA9">
          <w:rPr>
            <w:rFonts w:cs="Arial"/>
            <w:color w:val="0000FF"/>
            <w:szCs w:val="20"/>
            <w:u w:val="single"/>
          </w:rPr>
          <w:t>https://www.tceq.texas.gov/permitting/air/permitbyrule/air_pbr_index.html</w:t>
        </w:r>
      </w:hyperlink>
    </w:p>
    <w:p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Previous versions of 30 TAC Chapter 106 PBRs may be viewed at the following website:</w:t>
      </w:r>
    </w:p>
    <w:p w:rsidR="005D49E5" w:rsidRPr="005D49E5" w:rsidRDefault="005D49E5" w:rsidP="005D49E5">
      <w:pPr>
        <w:numPr>
          <w:ilvl w:val="12"/>
          <w:numId w:val="17"/>
        </w:numPr>
        <w:tabs>
          <w:tab w:val="left" w:pos="720"/>
        </w:tabs>
        <w:autoSpaceDE/>
        <w:autoSpaceDN/>
        <w:adjustRightInd/>
        <w:spacing w:before="100" w:beforeAutospacing="1" w:after="100" w:afterAutospacing="1"/>
        <w:contextualSpacing/>
        <w:rPr>
          <w:rFonts w:cs="Arial"/>
          <w:bCs/>
          <w:szCs w:val="20"/>
        </w:rPr>
      </w:pPr>
    </w:p>
    <w:p w:rsidR="005D49E5" w:rsidRPr="005D49E5" w:rsidRDefault="00952307" w:rsidP="005D49E5">
      <w:pPr>
        <w:spacing w:before="100" w:beforeAutospacing="1" w:after="100" w:afterAutospacing="1"/>
        <w:contextualSpacing/>
        <w:rPr>
          <w:rFonts w:cs="Arial"/>
          <w:bCs/>
          <w:szCs w:val="20"/>
        </w:rPr>
      </w:pPr>
      <w:hyperlink r:id="rId18" w:history="1">
        <w:r w:rsidR="003C1FA9">
          <w:rPr>
            <w:rFonts w:cs="Arial"/>
            <w:color w:val="0000FF"/>
            <w:szCs w:val="20"/>
            <w:u w:val="single"/>
          </w:rPr>
          <w:t>www.tceq.texas.gov/permitting/air/permitbyrule/historical_rules/old106list/index106.html</w:t>
        </w:r>
      </w:hyperlink>
      <w:r w:rsidR="005D49E5" w:rsidRPr="005D49E5">
        <w:rPr>
          <w:rFonts w:cs="Arial"/>
          <w:bCs/>
          <w:szCs w:val="20"/>
        </w:rPr>
        <w:t xml:space="preserve"> </w:t>
      </w:r>
    </w:p>
    <w:p w:rsidR="005D49E5" w:rsidRPr="005D49E5" w:rsidRDefault="005D49E5" w:rsidP="005D49E5">
      <w:pPr>
        <w:numPr>
          <w:ilvl w:val="12"/>
          <w:numId w:val="17"/>
        </w:numPr>
        <w:tabs>
          <w:tab w:val="left" w:pos="720"/>
        </w:tabs>
        <w:autoSpaceDE/>
        <w:autoSpaceDN/>
        <w:adjustRightInd/>
        <w:spacing w:before="100" w:beforeAutospacing="1" w:after="100" w:afterAutospacing="1"/>
        <w:contextualSpacing/>
        <w:rPr>
          <w:rFonts w:cs="Arial"/>
          <w:bCs/>
          <w:szCs w:val="20"/>
        </w:rPr>
      </w:pPr>
    </w:p>
    <w:p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Historical Standard Exemption lists may be viewed at the following website:</w:t>
      </w:r>
    </w:p>
    <w:p w:rsidR="005D49E5" w:rsidRPr="005D49E5" w:rsidRDefault="005D49E5" w:rsidP="005D49E5">
      <w:pPr>
        <w:spacing w:before="100" w:beforeAutospacing="1" w:after="100" w:afterAutospacing="1"/>
        <w:ind w:left="720"/>
        <w:contextualSpacing/>
        <w:rPr>
          <w:rFonts w:cs="Arial"/>
          <w:bCs/>
          <w:szCs w:val="20"/>
        </w:rPr>
      </w:pPr>
    </w:p>
    <w:p w:rsidR="005D49E5" w:rsidRPr="005D49E5" w:rsidRDefault="00952307" w:rsidP="005D49E5">
      <w:pPr>
        <w:spacing w:before="100" w:beforeAutospacing="1" w:after="100" w:afterAutospacing="1"/>
        <w:contextualSpacing/>
        <w:rPr>
          <w:rFonts w:cs="Arial"/>
          <w:bCs/>
          <w:szCs w:val="20"/>
        </w:rPr>
      </w:pPr>
      <w:hyperlink r:id="rId19" w:history="1">
        <w:r w:rsidR="003C1FA9">
          <w:rPr>
            <w:rFonts w:cs="Arial"/>
            <w:color w:val="0000FF"/>
            <w:szCs w:val="20"/>
            <w:u w:val="single"/>
          </w:rPr>
          <w:t>www.tceq.texas.gov/permitting/air/permitbyrule/historical_rules/oldselist/se_index.html</w:t>
        </w:r>
      </w:hyperlink>
      <w:r w:rsidR="005D49E5" w:rsidRPr="005D49E5">
        <w:rPr>
          <w:rFonts w:cs="Arial"/>
          <w:b/>
          <w:bCs/>
          <w:szCs w:val="20"/>
        </w:rPr>
        <w:t xml:space="preserve"> </w:t>
      </w:r>
    </w:p>
    <w:p w:rsidR="005D49E5" w:rsidRPr="005D49E5" w:rsidRDefault="005D49E5" w:rsidP="005D49E5">
      <w:pPr>
        <w:ind w:left="720"/>
        <w:contextualSpacing/>
        <w:rPr>
          <w:rFonts w:cs="Arial"/>
          <w:bCs/>
          <w:szCs w:val="20"/>
        </w:rPr>
      </w:pPr>
    </w:p>
    <w:p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 xml:space="preserve">Additional information concerning PBRs is available on the TCEQ website:  </w:t>
      </w:r>
    </w:p>
    <w:p w:rsidR="005D49E5" w:rsidRPr="005D49E5" w:rsidRDefault="005D49E5" w:rsidP="005D49E5">
      <w:pPr>
        <w:ind w:left="720"/>
        <w:contextualSpacing/>
        <w:rPr>
          <w:rFonts w:cs="Arial"/>
          <w:bCs/>
          <w:szCs w:val="20"/>
        </w:rPr>
      </w:pPr>
    </w:p>
    <w:p w:rsidR="005D49E5" w:rsidRPr="00EE0A88" w:rsidRDefault="00952307" w:rsidP="005D49E5">
      <w:pPr>
        <w:spacing w:before="100" w:beforeAutospacing="1" w:after="240"/>
        <w:contextualSpacing/>
        <w:rPr>
          <w:rFonts w:cs="Arial"/>
          <w:bCs/>
          <w:szCs w:val="20"/>
        </w:rPr>
      </w:pPr>
      <w:hyperlink r:id="rId20" w:history="1">
        <w:r w:rsidR="003C1FA9">
          <w:rPr>
            <w:rFonts w:cs="Arial"/>
            <w:color w:val="0000FF"/>
            <w:szCs w:val="20"/>
            <w:u w:val="single"/>
          </w:rPr>
          <w:t>https://www.tceq.texas.gov/permitting/air/nav/air_pbr.html</w:t>
        </w:r>
      </w:hyperlink>
    </w:p>
    <w:p w:rsidR="005D49E5" w:rsidRDefault="005D49E5" w:rsidP="005D49E5">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rPr>
      </w:pPr>
    </w:p>
    <w:p w:rsidR="007E3F05" w:rsidRPr="0078225F" w:rsidRDefault="007E3F05" w:rsidP="0078225F">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b w:val="0"/>
          <w:bCs w:val="0"/>
          <w:iCs/>
        </w:rPr>
      </w:pPr>
      <w:r w:rsidRPr="00A30A71">
        <w:rPr>
          <w:rStyle w:val="Strong"/>
        </w:rPr>
        <w:t>C</w:t>
      </w:r>
      <w:r w:rsidR="00A30A71">
        <w:rPr>
          <w:rStyle w:val="Strong"/>
        </w:rPr>
        <w:t>ompliance Review</w:t>
      </w:r>
    </w:p>
    <w:p w:rsidR="003C1FA9" w:rsidRPr="00F0774D" w:rsidRDefault="003C1FA9" w:rsidP="003C1FA9">
      <w:pPr>
        <w:tabs>
          <w:tab w:val="left" w:pos="720"/>
          <w:tab w:val="left" w:pos="1440"/>
        </w:tabs>
        <w:rPr>
          <w:szCs w:val="20"/>
        </w:rPr>
      </w:pPr>
      <w:r w:rsidRPr="00F0774D">
        <w:rPr>
          <w:szCs w:val="20"/>
        </w:rPr>
        <w:t>1. In accordance with 30 TAC Chapter 60, the compliance history was reviewed on</w:t>
      </w:r>
      <w:r>
        <w:rPr>
          <w:szCs w:val="20"/>
        </w:rPr>
        <w:t xml:space="preserve"> </w:t>
      </w:r>
      <w:r>
        <w:rPr>
          <w:szCs w:val="20"/>
          <w:u w:val="single"/>
        </w:rPr>
        <w:t>February 17, 2020</w:t>
      </w:r>
      <w:r w:rsidRPr="00F0774D">
        <w:rPr>
          <w:szCs w:val="20"/>
          <w:u w:val="single"/>
        </w:rPr>
        <w:t>.</w:t>
      </w:r>
    </w:p>
    <w:p w:rsidR="003C1FA9" w:rsidRPr="00F0774D" w:rsidRDefault="003C1FA9" w:rsidP="003C1FA9">
      <w:pPr>
        <w:tabs>
          <w:tab w:val="left" w:pos="540"/>
          <w:tab w:val="left" w:pos="1440"/>
          <w:tab w:val="left" w:pos="2880"/>
        </w:tabs>
        <w:rPr>
          <w:szCs w:val="20"/>
        </w:rPr>
      </w:pPr>
      <w:r w:rsidRPr="00F0774D">
        <w:rPr>
          <w:szCs w:val="20"/>
        </w:rPr>
        <w:tab/>
        <w:t xml:space="preserve">Site rating: </w:t>
      </w:r>
      <w:r w:rsidRPr="00F0774D">
        <w:rPr>
          <w:szCs w:val="20"/>
          <w:u w:val="single"/>
        </w:rPr>
        <w:t xml:space="preserve">  </w:t>
      </w:r>
      <w:r>
        <w:rPr>
          <w:szCs w:val="20"/>
          <w:u w:val="single"/>
        </w:rPr>
        <w:t>N/A</w:t>
      </w:r>
      <w:r w:rsidRPr="00F0774D">
        <w:rPr>
          <w:szCs w:val="20"/>
          <w:u w:val="single"/>
        </w:rPr>
        <w:t xml:space="preserve">  </w:t>
      </w:r>
      <w:r w:rsidRPr="00F0774D">
        <w:rPr>
          <w:szCs w:val="20"/>
        </w:rPr>
        <w:t xml:space="preserve"> </w:t>
      </w:r>
      <w:r w:rsidRPr="00F0774D">
        <w:rPr>
          <w:szCs w:val="20"/>
        </w:rPr>
        <w:tab/>
        <w:t xml:space="preserve">Company rating: </w:t>
      </w:r>
      <w:r w:rsidRPr="00F0774D">
        <w:rPr>
          <w:szCs w:val="20"/>
          <w:u w:val="single"/>
        </w:rPr>
        <w:t xml:space="preserve">  </w:t>
      </w:r>
      <w:r>
        <w:rPr>
          <w:szCs w:val="20"/>
          <w:u w:val="single"/>
        </w:rPr>
        <w:t>N/A</w:t>
      </w:r>
      <w:r w:rsidRPr="00F0774D">
        <w:rPr>
          <w:szCs w:val="20"/>
          <w:u w:val="single"/>
        </w:rPr>
        <w:t xml:space="preserve">  </w:t>
      </w:r>
      <w:r w:rsidRPr="00F0774D">
        <w:rPr>
          <w:szCs w:val="20"/>
        </w:rPr>
        <w:tab/>
      </w:r>
    </w:p>
    <w:p w:rsidR="003C1FA9" w:rsidRPr="00F0774D" w:rsidRDefault="003C1FA9" w:rsidP="003C1FA9">
      <w:pPr>
        <w:tabs>
          <w:tab w:val="left" w:pos="540"/>
          <w:tab w:val="left" w:pos="1440"/>
          <w:tab w:val="left" w:pos="2160"/>
          <w:tab w:val="left" w:pos="2880"/>
          <w:tab w:val="left" w:pos="3600"/>
          <w:tab w:val="left" w:pos="4320"/>
          <w:tab w:val="center" w:pos="5400"/>
        </w:tabs>
        <w:rPr>
          <w:i/>
          <w:szCs w:val="20"/>
        </w:rPr>
      </w:pPr>
      <w:r w:rsidRPr="00F0774D">
        <w:rPr>
          <w:szCs w:val="20"/>
        </w:rPr>
        <w:tab/>
      </w:r>
      <w:r w:rsidRPr="00F0774D">
        <w:rPr>
          <w:i/>
          <w:szCs w:val="20"/>
        </w:rPr>
        <w:t>(High &lt; 0.10; Satisfactory ≥ 0.10 and ≤ 55; Unsatisfactory &gt; 55)</w:t>
      </w:r>
    </w:p>
    <w:p w:rsidR="003C1FA9" w:rsidRPr="00F0774D" w:rsidRDefault="003C1FA9" w:rsidP="003C1FA9">
      <w:pPr>
        <w:tabs>
          <w:tab w:val="left" w:pos="720"/>
          <w:tab w:val="left" w:pos="1440"/>
          <w:tab w:val="right" w:leader="dot" w:pos="10800"/>
        </w:tabs>
        <w:rPr>
          <w:szCs w:val="20"/>
        </w:rPr>
      </w:pPr>
      <w:r w:rsidRPr="00F0774D">
        <w:rPr>
          <w:szCs w:val="20"/>
        </w:rPr>
        <w:t xml:space="preserve">2. Has the permit changed </w:t>
      </w:r>
      <w:proofErr w:type="gramStart"/>
      <w:r w:rsidRPr="00F0774D">
        <w:rPr>
          <w:szCs w:val="20"/>
        </w:rPr>
        <w:t>on the basis of</w:t>
      </w:r>
      <w:proofErr w:type="gramEnd"/>
      <w:r w:rsidRPr="00F0774D">
        <w:rPr>
          <w:szCs w:val="20"/>
        </w:rPr>
        <w:t xml:space="preserve"> the compliance history or site/company rating?</w:t>
      </w:r>
      <w:r w:rsidRPr="00F0774D">
        <w:rPr>
          <w:szCs w:val="20"/>
        </w:rPr>
        <w:tab/>
        <w:t>No</w:t>
      </w:r>
    </w:p>
    <w:p w:rsidR="003C1FA9" w:rsidRPr="00F0774D" w:rsidRDefault="003C1FA9" w:rsidP="003C1FA9">
      <w:pPr>
        <w:tabs>
          <w:tab w:val="left" w:pos="720"/>
          <w:tab w:val="left" w:pos="1440"/>
        </w:tabs>
        <w:rPr>
          <w:szCs w:val="20"/>
        </w:rPr>
      </w:pPr>
    </w:p>
    <w:p w:rsidR="003C1FA9" w:rsidRPr="00F0774D" w:rsidRDefault="003C1FA9" w:rsidP="003C1FA9">
      <w:pPr>
        <w:tabs>
          <w:tab w:val="left" w:pos="720"/>
          <w:tab w:val="left" w:pos="1440"/>
        </w:tabs>
        <w:rPr>
          <w:szCs w:val="20"/>
          <w:u w:val="single"/>
        </w:rPr>
      </w:pPr>
      <w:r w:rsidRPr="00F0774D">
        <w:rPr>
          <w:szCs w:val="20"/>
          <w:u w:val="single"/>
        </w:rPr>
        <w:t>Permit reviewer notes:</w:t>
      </w:r>
    </w:p>
    <w:p w:rsidR="003C1FA9" w:rsidRPr="00F0774D" w:rsidRDefault="003C1FA9" w:rsidP="003C1FA9">
      <w:pPr>
        <w:tabs>
          <w:tab w:val="left" w:pos="720"/>
          <w:tab w:val="left" w:pos="1440"/>
        </w:tabs>
        <w:rPr>
          <w:szCs w:val="20"/>
        </w:rPr>
      </w:pPr>
      <w:r>
        <w:rPr>
          <w:szCs w:val="20"/>
        </w:rPr>
        <w:t xml:space="preserve">The site has been operating for less than five </w:t>
      </w:r>
      <w:proofErr w:type="gramStart"/>
      <w:r>
        <w:rPr>
          <w:szCs w:val="20"/>
        </w:rPr>
        <w:t>years,</w:t>
      </w:r>
      <w:proofErr w:type="gramEnd"/>
      <w:r>
        <w:rPr>
          <w:szCs w:val="20"/>
        </w:rPr>
        <w:t xml:space="preserve"> hence the ratings are shown as N/A above. </w:t>
      </w:r>
    </w:p>
    <w:p w:rsidR="003C1FA9" w:rsidRPr="00F0774D" w:rsidRDefault="003C1FA9" w:rsidP="003C1FA9">
      <w:pPr>
        <w:tabs>
          <w:tab w:val="left" w:pos="720"/>
          <w:tab w:val="left" w:pos="1440"/>
        </w:tabs>
        <w:rPr>
          <w:szCs w:val="20"/>
        </w:rPr>
      </w:pPr>
    </w:p>
    <w:p w:rsidR="003C1FA9" w:rsidRPr="00F0774D" w:rsidRDefault="003C1FA9" w:rsidP="003C1FA9">
      <w:pPr>
        <w:tabs>
          <w:tab w:val="left" w:pos="720"/>
          <w:tab w:val="left" w:pos="1440"/>
        </w:tabs>
        <w:rPr>
          <w:b/>
          <w:szCs w:val="20"/>
        </w:rPr>
      </w:pPr>
      <w:r w:rsidRPr="00F0774D">
        <w:rPr>
          <w:b/>
          <w:szCs w:val="20"/>
        </w:rPr>
        <w:t>Site/Permit Area Compliance Status Review</w:t>
      </w:r>
    </w:p>
    <w:p w:rsidR="003C1FA9" w:rsidRPr="00F0774D" w:rsidRDefault="003C1FA9" w:rsidP="003C1FA9">
      <w:pPr>
        <w:tabs>
          <w:tab w:val="left" w:pos="720"/>
          <w:tab w:val="left" w:pos="1440"/>
          <w:tab w:val="right" w:leader="dot" w:pos="10800"/>
        </w:tabs>
        <w:rPr>
          <w:szCs w:val="20"/>
        </w:rPr>
      </w:pPr>
      <w:r w:rsidRPr="00F0774D">
        <w:rPr>
          <w:szCs w:val="20"/>
        </w:rPr>
        <w:t>1. Were there any out-of-compliance units listed on Form OP-ACPS?</w:t>
      </w:r>
      <w:r w:rsidRPr="00F0774D">
        <w:rPr>
          <w:szCs w:val="20"/>
        </w:rPr>
        <w:tab/>
        <w:t>No</w:t>
      </w:r>
    </w:p>
    <w:p w:rsidR="003C1FA9" w:rsidRPr="00676527" w:rsidRDefault="003C1FA9" w:rsidP="003C1FA9">
      <w:pPr>
        <w:tabs>
          <w:tab w:val="left" w:pos="720"/>
          <w:tab w:val="left" w:pos="1440"/>
          <w:tab w:val="right" w:leader="dot" w:pos="10800"/>
        </w:tabs>
        <w:rPr>
          <w:szCs w:val="20"/>
        </w:rPr>
      </w:pPr>
      <w:r w:rsidRPr="00F0774D">
        <w:rPr>
          <w:szCs w:val="20"/>
        </w:rPr>
        <w:t>2. Is a compliance plan and schedule included in the permit?</w:t>
      </w:r>
      <w:r w:rsidRPr="00F0774D">
        <w:rPr>
          <w:szCs w:val="20"/>
        </w:rPr>
        <w:tab/>
        <w:t>No</w:t>
      </w:r>
    </w:p>
    <w:p w:rsidR="007E3F05" w:rsidRPr="008738C6" w:rsidRDefault="007E3F05" w:rsidP="00A30A71">
      <w:pPr>
        <w:rPr>
          <w:iCs/>
        </w:rPr>
      </w:pPr>
    </w:p>
    <w:p w:rsidR="007E3F05" w:rsidRPr="008738C6" w:rsidRDefault="007E3F05" w:rsidP="00A30A71">
      <w:pPr>
        <w:rPr>
          <w:iCs/>
        </w:rPr>
      </w:pPr>
    </w:p>
    <w:p w:rsidR="007E3F05" w:rsidRPr="00A30A71" w:rsidRDefault="007E3F05" w:rsidP="00887031">
      <w:pPr>
        <w:keepNext/>
        <w:outlineLvl w:val="0"/>
        <w:rPr>
          <w:rStyle w:val="Strong"/>
        </w:rPr>
      </w:pPr>
      <w:r w:rsidRPr="00A30A71">
        <w:rPr>
          <w:rStyle w:val="Strong"/>
        </w:rPr>
        <w:t>A</w:t>
      </w:r>
      <w:r w:rsidR="00A30A71">
        <w:rPr>
          <w:rStyle w:val="Strong"/>
        </w:rPr>
        <w:t>vailable</w:t>
      </w:r>
      <w:r w:rsidRPr="00A30A71">
        <w:rPr>
          <w:rStyle w:val="Strong"/>
        </w:rPr>
        <w:t xml:space="preserve"> U</w:t>
      </w:r>
      <w:r w:rsidR="00A30A71">
        <w:rPr>
          <w:rStyle w:val="Strong"/>
        </w:rPr>
        <w:t xml:space="preserve">nit </w:t>
      </w:r>
      <w:r w:rsidRPr="00A30A71">
        <w:rPr>
          <w:rStyle w:val="Strong"/>
        </w:rPr>
        <w:t>A</w:t>
      </w:r>
      <w:r w:rsidR="00A30A71">
        <w:rPr>
          <w:rStyle w:val="Strong"/>
        </w:rPr>
        <w:t>ttribute</w:t>
      </w:r>
      <w:r w:rsidRPr="00A30A71">
        <w:rPr>
          <w:rStyle w:val="Strong"/>
        </w:rPr>
        <w:t xml:space="preserve"> F</w:t>
      </w:r>
      <w:r w:rsidR="00A30A71">
        <w:rPr>
          <w:rStyle w:val="Strong"/>
        </w:rPr>
        <w:t>orms</w:t>
      </w:r>
    </w:p>
    <w:p w:rsidR="007E3F05" w:rsidRPr="00DE1959" w:rsidRDefault="007E3F05" w:rsidP="00887031">
      <w:pPr>
        <w:keepNext/>
        <w:rPr>
          <w:bCs/>
          <w:iCs/>
        </w:rPr>
      </w:pPr>
    </w:p>
    <w:p w:rsidR="00A30A71" w:rsidRDefault="007E3F05" w:rsidP="0067496E">
      <w:pPr>
        <w:ind w:left="1080" w:hanging="1080"/>
        <w:outlineLvl w:val="0"/>
        <w:rPr>
          <w:iCs/>
          <w:szCs w:val="22"/>
        </w:rPr>
      </w:pPr>
      <w:r w:rsidRPr="008738C6">
        <w:rPr>
          <w:iCs/>
          <w:szCs w:val="22"/>
        </w:rPr>
        <w:t>OP-UA1 - Miscellaneous and Generic Unit Attributes</w:t>
      </w:r>
    </w:p>
    <w:p w:rsidR="007E3F05" w:rsidRPr="008738C6" w:rsidRDefault="007E3F05" w:rsidP="0067496E">
      <w:pPr>
        <w:ind w:left="1080" w:hanging="1080"/>
        <w:rPr>
          <w:iCs/>
          <w:szCs w:val="22"/>
        </w:rPr>
      </w:pPr>
      <w:r w:rsidRPr="008738C6">
        <w:rPr>
          <w:iCs/>
          <w:szCs w:val="22"/>
        </w:rPr>
        <w:t xml:space="preserve">OP-UA2 - Stationary Reciprocating Internal Combustion Engine Attributes </w:t>
      </w:r>
    </w:p>
    <w:p w:rsidR="00A30A71" w:rsidRDefault="007E3F05" w:rsidP="0067496E">
      <w:pPr>
        <w:ind w:left="1080" w:hanging="1080"/>
        <w:rPr>
          <w:iCs/>
          <w:szCs w:val="22"/>
        </w:rPr>
      </w:pPr>
      <w:r w:rsidRPr="008738C6">
        <w:rPr>
          <w:iCs/>
          <w:szCs w:val="22"/>
        </w:rPr>
        <w:t>OP-UA3 - Storage Tank/Vessel Attributes</w:t>
      </w:r>
    </w:p>
    <w:p w:rsidR="00A30A71" w:rsidRDefault="007E3F05" w:rsidP="0067496E">
      <w:pPr>
        <w:ind w:left="1080" w:hanging="1080"/>
        <w:rPr>
          <w:iCs/>
          <w:szCs w:val="22"/>
        </w:rPr>
      </w:pPr>
      <w:r w:rsidRPr="008738C6">
        <w:rPr>
          <w:iCs/>
          <w:szCs w:val="22"/>
        </w:rPr>
        <w:t>OP-UA4 - Loading/Unloading Operations Attributes</w:t>
      </w:r>
    </w:p>
    <w:p w:rsidR="00A30A71" w:rsidRDefault="007E3F05" w:rsidP="0067496E">
      <w:pPr>
        <w:ind w:left="1080" w:hanging="1080"/>
        <w:rPr>
          <w:iCs/>
          <w:szCs w:val="22"/>
        </w:rPr>
      </w:pPr>
      <w:r w:rsidRPr="008738C6">
        <w:rPr>
          <w:iCs/>
          <w:szCs w:val="22"/>
        </w:rPr>
        <w:t>OP-UA5 - Process Heater/Furnace Attributes</w:t>
      </w:r>
    </w:p>
    <w:p w:rsidR="00A30A71" w:rsidRDefault="007E3F05" w:rsidP="0067496E">
      <w:pPr>
        <w:ind w:left="1080" w:hanging="1080"/>
        <w:rPr>
          <w:iCs/>
          <w:szCs w:val="22"/>
        </w:rPr>
      </w:pPr>
      <w:r w:rsidRPr="008738C6">
        <w:rPr>
          <w:iCs/>
          <w:szCs w:val="22"/>
        </w:rPr>
        <w:t>OP-UA6 - Boiler/Steam Generator/Steam Generating Unit Attributes</w:t>
      </w:r>
    </w:p>
    <w:p w:rsidR="00A30A71" w:rsidRDefault="007E3F05" w:rsidP="0067496E">
      <w:pPr>
        <w:ind w:left="1080" w:hanging="1080"/>
        <w:rPr>
          <w:iCs/>
          <w:szCs w:val="22"/>
        </w:rPr>
      </w:pPr>
      <w:r w:rsidRPr="008738C6">
        <w:rPr>
          <w:iCs/>
          <w:szCs w:val="22"/>
        </w:rPr>
        <w:t>OP-UA7 - Flare Attributes</w:t>
      </w:r>
    </w:p>
    <w:p w:rsidR="00A30A71" w:rsidRDefault="007E3F05" w:rsidP="0067496E">
      <w:pPr>
        <w:ind w:left="1080" w:hanging="1080"/>
        <w:rPr>
          <w:iCs/>
          <w:szCs w:val="22"/>
        </w:rPr>
      </w:pPr>
      <w:r w:rsidRPr="008738C6">
        <w:rPr>
          <w:iCs/>
          <w:szCs w:val="22"/>
        </w:rPr>
        <w:t>OP-UA10 - Gas Sweetening/Sulfur Recovery Unit Attributes</w:t>
      </w:r>
    </w:p>
    <w:p w:rsidR="00A30A71" w:rsidRDefault="007E3F05" w:rsidP="0067496E">
      <w:pPr>
        <w:ind w:left="1080" w:hanging="1080"/>
        <w:rPr>
          <w:iCs/>
          <w:szCs w:val="22"/>
        </w:rPr>
      </w:pPr>
      <w:r w:rsidRPr="008738C6">
        <w:rPr>
          <w:iCs/>
          <w:szCs w:val="22"/>
        </w:rPr>
        <w:t>OP-UA11 - Stationary Turbine Attributes</w:t>
      </w:r>
    </w:p>
    <w:p w:rsidR="00A30A71" w:rsidRDefault="007E3F05" w:rsidP="0067496E">
      <w:pPr>
        <w:ind w:left="1080" w:hanging="1080"/>
        <w:rPr>
          <w:iCs/>
          <w:szCs w:val="22"/>
        </w:rPr>
      </w:pPr>
      <w:r w:rsidRPr="008738C6">
        <w:rPr>
          <w:iCs/>
          <w:szCs w:val="22"/>
        </w:rPr>
        <w:t>OP-UA12 - Fugitive Emission Unit Attributes</w:t>
      </w:r>
    </w:p>
    <w:p w:rsidR="007E3F05" w:rsidRPr="008738C6" w:rsidRDefault="007E3F05" w:rsidP="0067496E">
      <w:pPr>
        <w:ind w:left="1080" w:hanging="1080"/>
        <w:rPr>
          <w:iCs/>
          <w:szCs w:val="22"/>
        </w:rPr>
      </w:pPr>
      <w:r w:rsidRPr="008738C6">
        <w:rPr>
          <w:iCs/>
          <w:szCs w:val="22"/>
        </w:rPr>
        <w:t>OP-UA13 - Industrial Process Cooling Tower Attributes</w:t>
      </w:r>
    </w:p>
    <w:p w:rsidR="00A30A71" w:rsidRDefault="007E3F05" w:rsidP="0067496E">
      <w:pPr>
        <w:ind w:left="1080" w:hanging="1080"/>
        <w:rPr>
          <w:iCs/>
          <w:szCs w:val="22"/>
        </w:rPr>
      </w:pPr>
      <w:r w:rsidRPr="008738C6">
        <w:rPr>
          <w:iCs/>
          <w:szCs w:val="22"/>
        </w:rPr>
        <w:t>OP-UA14 - Water Separator Attributes</w:t>
      </w:r>
    </w:p>
    <w:p w:rsidR="00A30A71" w:rsidRDefault="007E3F05" w:rsidP="0067496E">
      <w:pPr>
        <w:ind w:left="1080" w:hanging="1080"/>
        <w:rPr>
          <w:iCs/>
          <w:szCs w:val="22"/>
        </w:rPr>
      </w:pPr>
      <w:r w:rsidRPr="008738C6">
        <w:rPr>
          <w:iCs/>
          <w:szCs w:val="22"/>
        </w:rPr>
        <w:t>OP-UA15 - Emission Point/Stationary Vent/Distillation Operation/Process Vent Attributes</w:t>
      </w:r>
    </w:p>
    <w:p w:rsidR="00A30A71" w:rsidRDefault="007E3F05" w:rsidP="0067496E">
      <w:pPr>
        <w:ind w:left="1080" w:hanging="1080"/>
        <w:rPr>
          <w:iCs/>
          <w:szCs w:val="22"/>
        </w:rPr>
      </w:pPr>
      <w:r w:rsidRPr="008738C6">
        <w:rPr>
          <w:iCs/>
          <w:szCs w:val="22"/>
        </w:rPr>
        <w:t>OP-UA16 - Solvent Degreasing Machine Attributes</w:t>
      </w:r>
    </w:p>
    <w:p w:rsidR="007E3F05" w:rsidRPr="008738C6" w:rsidRDefault="007E3F05" w:rsidP="0067496E">
      <w:pPr>
        <w:ind w:left="1080" w:hanging="1080"/>
        <w:rPr>
          <w:iCs/>
          <w:szCs w:val="22"/>
        </w:rPr>
      </w:pPr>
      <w:r w:rsidRPr="008738C6">
        <w:rPr>
          <w:iCs/>
          <w:szCs w:val="22"/>
        </w:rPr>
        <w:t>OP-UA17 - Distillation Unit Attributes</w:t>
      </w:r>
    </w:p>
    <w:p w:rsidR="00A30A71" w:rsidRDefault="007E3F05" w:rsidP="0067496E">
      <w:pPr>
        <w:ind w:left="1080" w:hanging="1080"/>
        <w:rPr>
          <w:iCs/>
          <w:szCs w:val="22"/>
        </w:rPr>
      </w:pPr>
      <w:r w:rsidRPr="008738C6">
        <w:rPr>
          <w:iCs/>
          <w:szCs w:val="22"/>
        </w:rPr>
        <w:lastRenderedPageBreak/>
        <w:t>OP-UA1</w:t>
      </w:r>
      <w:r w:rsidR="00C144DE">
        <w:rPr>
          <w:iCs/>
          <w:szCs w:val="22"/>
        </w:rPr>
        <w:t>8 - Surface Coating Operations A</w:t>
      </w:r>
      <w:r w:rsidRPr="008738C6">
        <w:rPr>
          <w:iCs/>
          <w:szCs w:val="22"/>
        </w:rPr>
        <w:t>ttributes</w:t>
      </w:r>
    </w:p>
    <w:p w:rsidR="00A30A71" w:rsidRDefault="007E3F05" w:rsidP="0067496E">
      <w:pPr>
        <w:ind w:left="1080" w:hanging="1080"/>
        <w:rPr>
          <w:iCs/>
          <w:szCs w:val="22"/>
        </w:rPr>
      </w:pPr>
      <w:r w:rsidRPr="008738C6">
        <w:rPr>
          <w:iCs/>
          <w:szCs w:val="22"/>
        </w:rPr>
        <w:t>OP-UA19 - Wastewater Unit Attributes</w:t>
      </w:r>
    </w:p>
    <w:p w:rsidR="00A30A71" w:rsidRDefault="007E3F05" w:rsidP="0067496E">
      <w:pPr>
        <w:ind w:left="1080" w:hanging="1080"/>
        <w:rPr>
          <w:iCs/>
          <w:szCs w:val="22"/>
        </w:rPr>
      </w:pPr>
      <w:r w:rsidRPr="008738C6">
        <w:rPr>
          <w:iCs/>
          <w:szCs w:val="22"/>
        </w:rPr>
        <w:t>OP-UA20 - Asphalt Operations Attributes</w:t>
      </w:r>
    </w:p>
    <w:p w:rsidR="00A30A71" w:rsidRDefault="007E3F05" w:rsidP="0067496E">
      <w:pPr>
        <w:ind w:left="1080" w:hanging="1080"/>
        <w:rPr>
          <w:iCs/>
          <w:szCs w:val="22"/>
        </w:rPr>
      </w:pPr>
      <w:r w:rsidRPr="008738C6">
        <w:rPr>
          <w:iCs/>
          <w:szCs w:val="22"/>
        </w:rPr>
        <w:t>OP-UA21 - Grain Elevator Attributes</w:t>
      </w:r>
    </w:p>
    <w:p w:rsidR="00A30A71" w:rsidRDefault="007E3F05" w:rsidP="0067496E">
      <w:pPr>
        <w:ind w:left="1080" w:hanging="1080"/>
        <w:rPr>
          <w:iCs/>
          <w:szCs w:val="22"/>
        </w:rPr>
      </w:pPr>
      <w:r w:rsidRPr="008738C6">
        <w:rPr>
          <w:iCs/>
          <w:szCs w:val="22"/>
        </w:rPr>
        <w:t>OP-UA22 - Printing Attributes</w:t>
      </w:r>
    </w:p>
    <w:p w:rsidR="00A30A71" w:rsidRDefault="007E3F05" w:rsidP="0067496E">
      <w:pPr>
        <w:ind w:left="1080" w:hanging="1080"/>
        <w:rPr>
          <w:iCs/>
          <w:szCs w:val="22"/>
        </w:rPr>
      </w:pPr>
      <w:r w:rsidRPr="008738C6">
        <w:rPr>
          <w:iCs/>
          <w:szCs w:val="22"/>
        </w:rPr>
        <w:t>OP-UA24 - Wool Fiberglass Insulation Manufacturing Plant Attributes</w:t>
      </w:r>
    </w:p>
    <w:p w:rsidR="00A30A71" w:rsidRDefault="007E3F05" w:rsidP="0067496E">
      <w:pPr>
        <w:ind w:left="1080" w:hanging="1080"/>
        <w:rPr>
          <w:iCs/>
          <w:szCs w:val="22"/>
        </w:rPr>
      </w:pPr>
      <w:r w:rsidRPr="008738C6">
        <w:rPr>
          <w:iCs/>
          <w:szCs w:val="22"/>
        </w:rPr>
        <w:t>OP-UA25 - Synthetic Fiber Production Attributes</w:t>
      </w:r>
    </w:p>
    <w:p w:rsidR="00A30A71" w:rsidRDefault="007E3F05" w:rsidP="0067496E">
      <w:pPr>
        <w:ind w:left="1080" w:hanging="1080"/>
        <w:rPr>
          <w:iCs/>
          <w:szCs w:val="22"/>
        </w:rPr>
      </w:pPr>
      <w:r w:rsidRPr="008738C6">
        <w:rPr>
          <w:iCs/>
          <w:szCs w:val="22"/>
        </w:rPr>
        <w:t>OP-UA26 - Electroplating and Anodizing Unit Attributes</w:t>
      </w:r>
    </w:p>
    <w:p w:rsidR="00A30A71" w:rsidRDefault="007E3F05" w:rsidP="0067496E">
      <w:pPr>
        <w:ind w:left="1080" w:hanging="1080"/>
        <w:rPr>
          <w:iCs/>
          <w:szCs w:val="22"/>
        </w:rPr>
      </w:pPr>
      <w:r w:rsidRPr="008738C6">
        <w:rPr>
          <w:iCs/>
          <w:szCs w:val="22"/>
        </w:rPr>
        <w:t>OP-UA27 - Nitric Acid Manufacturing Attributes</w:t>
      </w:r>
    </w:p>
    <w:p w:rsidR="00A30A71" w:rsidRDefault="007E3F05" w:rsidP="0067496E">
      <w:pPr>
        <w:ind w:left="1080" w:hanging="1080"/>
        <w:rPr>
          <w:iCs/>
          <w:szCs w:val="22"/>
        </w:rPr>
      </w:pPr>
      <w:r w:rsidRPr="008738C6">
        <w:rPr>
          <w:iCs/>
          <w:szCs w:val="22"/>
        </w:rPr>
        <w:t>OP-UA28 - Polymer Manufacturing Attributes</w:t>
      </w:r>
    </w:p>
    <w:p w:rsidR="007E3F05" w:rsidRPr="008738C6" w:rsidRDefault="007E3F05" w:rsidP="0067496E">
      <w:pPr>
        <w:ind w:left="1080" w:hanging="1080"/>
        <w:rPr>
          <w:iCs/>
          <w:szCs w:val="22"/>
        </w:rPr>
      </w:pPr>
      <w:r w:rsidRPr="008738C6">
        <w:rPr>
          <w:iCs/>
          <w:szCs w:val="22"/>
        </w:rPr>
        <w:t>OP-UA29 - Glass Manufacturing Unit Attributes</w:t>
      </w:r>
    </w:p>
    <w:p w:rsidR="00A30A71" w:rsidRDefault="007E3F05" w:rsidP="0067496E">
      <w:pPr>
        <w:ind w:left="1080" w:hanging="1080"/>
        <w:rPr>
          <w:iCs/>
          <w:szCs w:val="22"/>
        </w:rPr>
      </w:pPr>
      <w:r w:rsidRPr="008738C6">
        <w:rPr>
          <w:iCs/>
          <w:szCs w:val="22"/>
        </w:rPr>
        <w:t xml:space="preserve">OP-UA30 - Kraft, Soda, Sulfite, and Stand-Alone </w:t>
      </w:r>
      <w:proofErr w:type="spellStart"/>
      <w:r w:rsidRPr="008738C6">
        <w:rPr>
          <w:iCs/>
          <w:szCs w:val="22"/>
        </w:rPr>
        <w:t>Semichemical</w:t>
      </w:r>
      <w:proofErr w:type="spellEnd"/>
      <w:r w:rsidRPr="008738C6">
        <w:rPr>
          <w:iCs/>
          <w:szCs w:val="22"/>
        </w:rPr>
        <w:t xml:space="preserve"> Pulp Mill Attributes</w:t>
      </w:r>
    </w:p>
    <w:p w:rsidR="00A30A71" w:rsidRDefault="007E3F05" w:rsidP="0067496E">
      <w:pPr>
        <w:ind w:left="1080" w:hanging="1080"/>
        <w:outlineLvl w:val="0"/>
        <w:rPr>
          <w:iCs/>
          <w:szCs w:val="22"/>
        </w:rPr>
      </w:pPr>
      <w:r w:rsidRPr="008738C6">
        <w:rPr>
          <w:iCs/>
          <w:szCs w:val="22"/>
        </w:rPr>
        <w:t>OP-UA31 - Lead Smelting Attributes</w:t>
      </w:r>
    </w:p>
    <w:p w:rsidR="00A30A71" w:rsidRDefault="007E3F05" w:rsidP="0067496E">
      <w:pPr>
        <w:ind w:left="1080" w:hanging="1080"/>
        <w:rPr>
          <w:iCs/>
          <w:szCs w:val="22"/>
        </w:rPr>
      </w:pPr>
      <w:r w:rsidRPr="008738C6">
        <w:rPr>
          <w:iCs/>
          <w:szCs w:val="22"/>
        </w:rPr>
        <w:t>OP-UA32 - Copper and Zinc Smelting/Brass and Bronze Production Attributes</w:t>
      </w:r>
    </w:p>
    <w:p w:rsidR="00A30A71" w:rsidRDefault="007E3F05" w:rsidP="0067496E">
      <w:pPr>
        <w:ind w:left="1080" w:hanging="1080"/>
        <w:rPr>
          <w:iCs/>
          <w:szCs w:val="22"/>
        </w:rPr>
      </w:pPr>
      <w:r w:rsidRPr="008738C6">
        <w:rPr>
          <w:iCs/>
          <w:szCs w:val="22"/>
        </w:rPr>
        <w:t>OP-UA33 - Mineral Processing Plant Attributes</w:t>
      </w:r>
    </w:p>
    <w:p w:rsidR="007E3F05" w:rsidRPr="008738C6" w:rsidRDefault="007E3F05" w:rsidP="0067496E">
      <w:pPr>
        <w:ind w:left="1080" w:hanging="1080"/>
        <w:rPr>
          <w:iCs/>
          <w:szCs w:val="22"/>
        </w:rPr>
      </w:pPr>
      <w:r w:rsidRPr="008738C6">
        <w:rPr>
          <w:iCs/>
          <w:szCs w:val="22"/>
        </w:rPr>
        <w:t>OP-UA34 - Pharmaceutical Manufacturing</w:t>
      </w:r>
    </w:p>
    <w:p w:rsidR="00ED71BC" w:rsidRDefault="007E3F05" w:rsidP="0067496E">
      <w:pPr>
        <w:ind w:left="1080" w:hanging="1080"/>
        <w:rPr>
          <w:iCs/>
          <w:szCs w:val="22"/>
        </w:rPr>
      </w:pPr>
      <w:r w:rsidRPr="008738C6">
        <w:rPr>
          <w:iCs/>
          <w:szCs w:val="22"/>
        </w:rPr>
        <w:t>OP-UA35 - Incinerator Attributes</w:t>
      </w:r>
    </w:p>
    <w:p w:rsidR="00ED71BC" w:rsidRDefault="007E3F05" w:rsidP="0067496E">
      <w:pPr>
        <w:ind w:left="1080" w:hanging="1080"/>
        <w:rPr>
          <w:iCs/>
          <w:szCs w:val="22"/>
        </w:rPr>
      </w:pPr>
      <w:r w:rsidRPr="008738C6">
        <w:rPr>
          <w:iCs/>
          <w:szCs w:val="22"/>
        </w:rPr>
        <w:t>OP-UA36 - Steel Plant Unit Attributes</w:t>
      </w:r>
    </w:p>
    <w:p w:rsidR="00ED71BC" w:rsidRDefault="007E3F05" w:rsidP="0067496E">
      <w:pPr>
        <w:ind w:left="1080" w:hanging="1080"/>
        <w:rPr>
          <w:iCs/>
          <w:szCs w:val="22"/>
        </w:rPr>
      </w:pPr>
      <w:r w:rsidRPr="008738C6">
        <w:rPr>
          <w:iCs/>
          <w:szCs w:val="22"/>
        </w:rPr>
        <w:t>OP-UA37 - Basic Oxygen Process Furnace Unit Attributes</w:t>
      </w:r>
    </w:p>
    <w:p w:rsidR="00ED71BC" w:rsidRDefault="007E3F05" w:rsidP="0067496E">
      <w:pPr>
        <w:ind w:left="1080" w:hanging="1080"/>
        <w:rPr>
          <w:iCs/>
          <w:szCs w:val="22"/>
        </w:rPr>
      </w:pPr>
      <w:r w:rsidRPr="008738C6">
        <w:rPr>
          <w:iCs/>
          <w:szCs w:val="22"/>
        </w:rPr>
        <w:t>OP-UA38 - Lead-Acid Battery Manufacturing Plant Attributes</w:t>
      </w:r>
    </w:p>
    <w:p w:rsidR="00ED71BC" w:rsidRDefault="007E3F05" w:rsidP="0067496E">
      <w:pPr>
        <w:ind w:left="1080" w:hanging="1080"/>
        <w:rPr>
          <w:iCs/>
          <w:szCs w:val="22"/>
        </w:rPr>
      </w:pPr>
      <w:r w:rsidRPr="008738C6">
        <w:rPr>
          <w:iCs/>
          <w:szCs w:val="22"/>
        </w:rPr>
        <w:t>OP-UA39 - Sterilization Source Attributes</w:t>
      </w:r>
    </w:p>
    <w:p w:rsidR="00ED71BC" w:rsidRDefault="007E3F05" w:rsidP="0067496E">
      <w:pPr>
        <w:ind w:left="1080" w:hanging="1080"/>
        <w:rPr>
          <w:iCs/>
          <w:szCs w:val="22"/>
        </w:rPr>
      </w:pPr>
      <w:r w:rsidRPr="008738C6">
        <w:rPr>
          <w:iCs/>
          <w:szCs w:val="22"/>
        </w:rPr>
        <w:t>OP-UA40 - Ferroalloy Production Facility Attributes</w:t>
      </w:r>
    </w:p>
    <w:p w:rsidR="00ED71BC" w:rsidRDefault="007E3F05" w:rsidP="0067496E">
      <w:pPr>
        <w:ind w:left="1080" w:hanging="1080"/>
        <w:rPr>
          <w:iCs/>
          <w:szCs w:val="22"/>
        </w:rPr>
      </w:pPr>
      <w:r w:rsidRPr="008738C6">
        <w:rPr>
          <w:iCs/>
          <w:szCs w:val="22"/>
        </w:rPr>
        <w:t>OP-UA41 - Dry Cleaning Facility Attributes</w:t>
      </w:r>
    </w:p>
    <w:p w:rsidR="00ED71BC" w:rsidRDefault="007E3F05" w:rsidP="0067496E">
      <w:pPr>
        <w:ind w:left="1080" w:hanging="1080"/>
        <w:rPr>
          <w:iCs/>
          <w:szCs w:val="22"/>
        </w:rPr>
      </w:pPr>
      <w:r w:rsidRPr="008738C6">
        <w:rPr>
          <w:iCs/>
          <w:szCs w:val="22"/>
        </w:rPr>
        <w:t>OP-UA42 - Phosphate Fertilizer Manufacturing Attributes</w:t>
      </w:r>
    </w:p>
    <w:p w:rsidR="00ED71BC" w:rsidRDefault="007E3F05" w:rsidP="0067496E">
      <w:pPr>
        <w:ind w:left="1080" w:hanging="1080"/>
        <w:rPr>
          <w:iCs/>
          <w:szCs w:val="22"/>
        </w:rPr>
      </w:pPr>
      <w:r w:rsidRPr="008738C6">
        <w:rPr>
          <w:iCs/>
          <w:szCs w:val="22"/>
        </w:rPr>
        <w:t>OP-UA43 - Sulfuric Acid Production Attributes</w:t>
      </w:r>
    </w:p>
    <w:p w:rsidR="00ED71BC" w:rsidRDefault="007E3F05" w:rsidP="0067496E">
      <w:pPr>
        <w:ind w:left="1080" w:hanging="1080"/>
        <w:rPr>
          <w:iCs/>
          <w:szCs w:val="22"/>
        </w:rPr>
      </w:pPr>
      <w:r w:rsidRPr="008738C6">
        <w:rPr>
          <w:iCs/>
          <w:szCs w:val="22"/>
        </w:rPr>
        <w:t>OP-UA44 - Municipal Solid Waste Landfill/Waste Disposal Site Attributes</w:t>
      </w:r>
    </w:p>
    <w:p w:rsidR="007E3F05" w:rsidRPr="008738C6" w:rsidRDefault="007E3F05" w:rsidP="0067496E">
      <w:pPr>
        <w:ind w:left="1080" w:hanging="1080"/>
        <w:rPr>
          <w:iCs/>
          <w:szCs w:val="22"/>
        </w:rPr>
      </w:pPr>
      <w:r w:rsidRPr="008738C6">
        <w:rPr>
          <w:iCs/>
          <w:szCs w:val="22"/>
        </w:rPr>
        <w:t>OP-UA45 - Surface Impoundment Attributes</w:t>
      </w:r>
    </w:p>
    <w:p w:rsidR="00ED71BC" w:rsidRDefault="007E3F05" w:rsidP="0067496E">
      <w:pPr>
        <w:ind w:left="1080" w:hanging="1080"/>
        <w:rPr>
          <w:iCs/>
          <w:szCs w:val="22"/>
        </w:rPr>
      </w:pPr>
      <w:r w:rsidRPr="008738C6">
        <w:rPr>
          <w:iCs/>
          <w:szCs w:val="22"/>
        </w:rPr>
        <w:t>OP-UA46 - Epoxy Resins and Non-Nylon Polyamides Production Attributes</w:t>
      </w:r>
    </w:p>
    <w:p w:rsidR="00ED71BC" w:rsidRDefault="007E3F05" w:rsidP="0067496E">
      <w:pPr>
        <w:ind w:left="1080" w:hanging="1080"/>
        <w:rPr>
          <w:iCs/>
          <w:szCs w:val="22"/>
        </w:rPr>
      </w:pPr>
      <w:r w:rsidRPr="008738C6">
        <w:rPr>
          <w:iCs/>
          <w:szCs w:val="22"/>
        </w:rPr>
        <w:t>OP-UA47 - Ship Building and Ship Repair Unit Attributes</w:t>
      </w:r>
    </w:p>
    <w:p w:rsidR="00ED71BC" w:rsidRDefault="007E3F05" w:rsidP="0067496E">
      <w:pPr>
        <w:ind w:left="1080" w:hanging="1080"/>
        <w:rPr>
          <w:iCs/>
          <w:szCs w:val="22"/>
        </w:rPr>
      </w:pPr>
      <w:r w:rsidRPr="008738C6">
        <w:rPr>
          <w:iCs/>
          <w:szCs w:val="22"/>
        </w:rPr>
        <w:t>OP-UA48 - Air Oxidation Unit Process Attributes</w:t>
      </w:r>
    </w:p>
    <w:p w:rsidR="00ED71BC" w:rsidRDefault="007E3F05" w:rsidP="0067496E">
      <w:pPr>
        <w:ind w:left="1080" w:hanging="1080"/>
        <w:rPr>
          <w:iCs/>
          <w:szCs w:val="22"/>
        </w:rPr>
      </w:pPr>
      <w:r w:rsidRPr="008738C6">
        <w:rPr>
          <w:iCs/>
          <w:szCs w:val="22"/>
        </w:rPr>
        <w:t>OP-UA49 - Vacuum-Producing System Attributes</w:t>
      </w:r>
    </w:p>
    <w:p w:rsidR="00ED71BC" w:rsidRDefault="007E3F05" w:rsidP="0067496E">
      <w:pPr>
        <w:ind w:left="1080" w:hanging="1080"/>
        <w:rPr>
          <w:iCs/>
          <w:szCs w:val="22"/>
        </w:rPr>
      </w:pPr>
      <w:r w:rsidRPr="008738C6">
        <w:rPr>
          <w:iCs/>
          <w:szCs w:val="22"/>
        </w:rPr>
        <w:t>OP-UA50 - Fluid Catalytic Cracking Unit Catalyst Regenerator/Fuel Gas Combustion Device/Claus Sulfur Recovery Plant Attributes</w:t>
      </w:r>
    </w:p>
    <w:p w:rsidR="00ED71BC" w:rsidRDefault="007E3F05" w:rsidP="0067496E">
      <w:pPr>
        <w:ind w:left="1080" w:hanging="1080"/>
        <w:rPr>
          <w:iCs/>
          <w:szCs w:val="22"/>
        </w:rPr>
      </w:pPr>
      <w:r w:rsidRPr="008738C6">
        <w:rPr>
          <w:iCs/>
          <w:szCs w:val="22"/>
        </w:rPr>
        <w:t>OP-UA51 - Dryer/Kiln/Oven Attributes</w:t>
      </w:r>
    </w:p>
    <w:p w:rsidR="00ED71BC" w:rsidRDefault="007E3F05" w:rsidP="0067496E">
      <w:pPr>
        <w:ind w:left="1080" w:hanging="1080"/>
        <w:rPr>
          <w:iCs/>
          <w:szCs w:val="22"/>
        </w:rPr>
      </w:pPr>
      <w:r w:rsidRPr="008738C6">
        <w:rPr>
          <w:iCs/>
          <w:szCs w:val="22"/>
        </w:rPr>
        <w:t>OP-UA52 - Closed Vent Systems and Control Devices</w:t>
      </w:r>
    </w:p>
    <w:p w:rsidR="00ED71BC" w:rsidRDefault="007E3F05" w:rsidP="0067496E">
      <w:pPr>
        <w:ind w:left="1080" w:hanging="1080"/>
        <w:rPr>
          <w:iCs/>
          <w:szCs w:val="22"/>
        </w:rPr>
      </w:pPr>
      <w:r w:rsidRPr="008738C6">
        <w:rPr>
          <w:iCs/>
          <w:szCs w:val="22"/>
        </w:rPr>
        <w:t>OP-UA53 - Beryllium Processing Attributes</w:t>
      </w:r>
    </w:p>
    <w:p w:rsidR="00ED71BC" w:rsidRDefault="007E3F05" w:rsidP="0067496E">
      <w:pPr>
        <w:ind w:left="1080" w:hanging="1080"/>
        <w:rPr>
          <w:iCs/>
          <w:szCs w:val="22"/>
        </w:rPr>
      </w:pPr>
      <w:r w:rsidRPr="008738C6">
        <w:rPr>
          <w:iCs/>
          <w:szCs w:val="22"/>
        </w:rPr>
        <w:t>OP-UA54 - Mercury Chlor-Alkali Cell Attributes</w:t>
      </w:r>
    </w:p>
    <w:p w:rsidR="00ED71BC" w:rsidRDefault="007E3F05" w:rsidP="0067496E">
      <w:pPr>
        <w:ind w:left="1080" w:hanging="1080"/>
        <w:rPr>
          <w:iCs/>
          <w:szCs w:val="22"/>
        </w:rPr>
      </w:pPr>
      <w:r w:rsidRPr="008738C6">
        <w:rPr>
          <w:iCs/>
          <w:szCs w:val="22"/>
        </w:rPr>
        <w:t>OP-UA55 - Transfer System Attributes</w:t>
      </w:r>
    </w:p>
    <w:p w:rsidR="00ED71BC" w:rsidRDefault="007E3F05" w:rsidP="0067496E">
      <w:pPr>
        <w:ind w:left="1080" w:hanging="1080"/>
        <w:rPr>
          <w:iCs/>
          <w:szCs w:val="22"/>
        </w:rPr>
      </w:pPr>
      <w:r w:rsidRPr="008738C6">
        <w:rPr>
          <w:iCs/>
          <w:szCs w:val="22"/>
        </w:rPr>
        <w:t>OP-UA56 - Vinyl Chloride Process Attributes</w:t>
      </w:r>
    </w:p>
    <w:p w:rsidR="00ED71BC" w:rsidRDefault="007E3F05" w:rsidP="0067496E">
      <w:pPr>
        <w:ind w:left="1080" w:hanging="1080"/>
        <w:rPr>
          <w:iCs/>
          <w:szCs w:val="22"/>
        </w:rPr>
      </w:pPr>
      <w:r w:rsidRPr="008738C6">
        <w:rPr>
          <w:iCs/>
          <w:szCs w:val="22"/>
        </w:rPr>
        <w:t>OP-UA57 - Cleaning/</w:t>
      </w:r>
      <w:proofErr w:type="spellStart"/>
      <w:r w:rsidRPr="008738C6">
        <w:rPr>
          <w:iCs/>
          <w:szCs w:val="22"/>
        </w:rPr>
        <w:t>Depainting</w:t>
      </w:r>
      <w:proofErr w:type="spellEnd"/>
      <w:r w:rsidRPr="008738C6">
        <w:rPr>
          <w:iCs/>
          <w:szCs w:val="22"/>
        </w:rPr>
        <w:t xml:space="preserve"> Operation Attributes</w:t>
      </w:r>
    </w:p>
    <w:p w:rsidR="00ED71BC" w:rsidRDefault="007E3F05" w:rsidP="0067496E">
      <w:pPr>
        <w:ind w:left="1080" w:hanging="1080"/>
        <w:rPr>
          <w:iCs/>
          <w:szCs w:val="22"/>
        </w:rPr>
      </w:pPr>
      <w:r w:rsidRPr="008738C6">
        <w:rPr>
          <w:iCs/>
          <w:szCs w:val="22"/>
        </w:rPr>
        <w:t>OP-UA58 - Treatment Process Attributes</w:t>
      </w:r>
    </w:p>
    <w:p w:rsidR="00ED71BC" w:rsidRDefault="007E3F05" w:rsidP="0067496E">
      <w:pPr>
        <w:ind w:left="1080" w:hanging="1080"/>
        <w:rPr>
          <w:iCs/>
          <w:szCs w:val="22"/>
        </w:rPr>
      </w:pPr>
      <w:r w:rsidRPr="008738C6">
        <w:rPr>
          <w:iCs/>
          <w:szCs w:val="22"/>
        </w:rPr>
        <w:t>OP-UA59 - Coke By-Product Recovery Plant Attributes</w:t>
      </w:r>
    </w:p>
    <w:p w:rsidR="007E3F05" w:rsidRPr="008738C6" w:rsidRDefault="007E3F05" w:rsidP="0067496E">
      <w:pPr>
        <w:ind w:left="1080" w:hanging="1080"/>
        <w:rPr>
          <w:iCs/>
          <w:szCs w:val="22"/>
        </w:rPr>
      </w:pPr>
      <w:r w:rsidRPr="008738C6">
        <w:rPr>
          <w:iCs/>
          <w:szCs w:val="22"/>
        </w:rPr>
        <w:t>OP-UA60 - Chemical Manufacturing Process Unit Attributes</w:t>
      </w:r>
    </w:p>
    <w:p w:rsidR="007E3F05" w:rsidRPr="008738C6" w:rsidRDefault="007E3F05" w:rsidP="0067496E">
      <w:pPr>
        <w:ind w:left="1080" w:hanging="1080"/>
        <w:rPr>
          <w:iCs/>
          <w:szCs w:val="22"/>
        </w:rPr>
      </w:pPr>
      <w:r w:rsidRPr="008738C6">
        <w:rPr>
          <w:iCs/>
          <w:szCs w:val="22"/>
        </w:rPr>
        <w:t>OP-UA61 - Pulp, Paper, or Paperboard Producing Process Attributes</w:t>
      </w:r>
    </w:p>
    <w:p w:rsidR="007E3F05" w:rsidRPr="008738C6" w:rsidRDefault="007E3F05" w:rsidP="0067496E">
      <w:pPr>
        <w:ind w:left="1080" w:hanging="1080"/>
        <w:rPr>
          <w:iCs/>
          <w:szCs w:val="22"/>
          <w:lang w:val="fr-FR"/>
        </w:rPr>
      </w:pPr>
      <w:r w:rsidRPr="008738C6">
        <w:rPr>
          <w:iCs/>
          <w:szCs w:val="22"/>
          <w:lang w:val="fr-FR"/>
        </w:rPr>
        <w:t xml:space="preserve">OP-UA62 - Glycol </w:t>
      </w:r>
      <w:proofErr w:type="spellStart"/>
      <w:r w:rsidRPr="008738C6">
        <w:rPr>
          <w:iCs/>
          <w:szCs w:val="22"/>
          <w:lang w:val="fr-FR"/>
        </w:rPr>
        <w:t>Dehydration</w:t>
      </w:r>
      <w:proofErr w:type="spellEnd"/>
      <w:r w:rsidRPr="008738C6">
        <w:rPr>
          <w:iCs/>
          <w:szCs w:val="22"/>
          <w:lang w:val="fr-FR"/>
        </w:rPr>
        <w:t xml:space="preserve"> Unit </w:t>
      </w:r>
      <w:proofErr w:type="spellStart"/>
      <w:r w:rsidRPr="008738C6">
        <w:rPr>
          <w:iCs/>
          <w:szCs w:val="22"/>
          <w:lang w:val="fr-FR"/>
        </w:rPr>
        <w:t>Attributes</w:t>
      </w:r>
      <w:proofErr w:type="spellEnd"/>
    </w:p>
    <w:p w:rsidR="00C062C0" w:rsidRDefault="007E3F05" w:rsidP="0067496E">
      <w:pPr>
        <w:ind w:left="1080" w:hanging="1080"/>
        <w:rPr>
          <w:iCs/>
          <w:szCs w:val="22"/>
        </w:rPr>
      </w:pPr>
      <w:r w:rsidRPr="008738C6">
        <w:rPr>
          <w:iCs/>
          <w:szCs w:val="22"/>
        </w:rPr>
        <w:t>OP-UA63 - Vegetable Oil Production Attributes</w:t>
      </w:r>
    </w:p>
    <w:p w:rsidR="00D36F21" w:rsidRPr="00C062C0" w:rsidRDefault="00C062C0" w:rsidP="00C062C0">
      <w:pPr>
        <w:rPr>
          <w:iCs/>
          <w:szCs w:val="22"/>
        </w:rPr>
      </w:pPr>
      <w:r w:rsidRPr="008738C6">
        <w:rPr>
          <w:iCs/>
          <w:szCs w:val="22"/>
        </w:rPr>
        <w:t>OP-UA6</w:t>
      </w:r>
      <w:r>
        <w:rPr>
          <w:iCs/>
          <w:szCs w:val="22"/>
        </w:rPr>
        <w:t>4</w:t>
      </w:r>
      <w:r w:rsidRPr="008738C6">
        <w:rPr>
          <w:iCs/>
          <w:szCs w:val="22"/>
        </w:rPr>
        <w:t xml:space="preserve"> - </w:t>
      </w:r>
      <w:r>
        <w:rPr>
          <w:iCs/>
          <w:szCs w:val="22"/>
        </w:rPr>
        <w:t>Coal Preparation Plant</w:t>
      </w:r>
      <w:r w:rsidRPr="008738C6">
        <w:rPr>
          <w:iCs/>
          <w:szCs w:val="22"/>
        </w:rPr>
        <w:t xml:space="preserve"> Attributes</w:t>
      </w:r>
      <w:r w:rsidR="007E3F05" w:rsidRPr="008738C6">
        <w:rPr>
          <w:iCs/>
          <w:szCs w:val="22"/>
        </w:rPr>
        <w:t xml:space="preserve"> </w:t>
      </w:r>
    </w:p>
    <w:sectPr w:rsidR="00D36F21" w:rsidRPr="00C062C0" w:rsidSect="007E3F05">
      <w:pgSz w:w="12240" w:h="15840"/>
      <w:pgMar w:top="907" w:right="720" w:bottom="144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FB" w:rsidRDefault="003B7BFB">
      <w:r>
        <w:separator/>
      </w:r>
    </w:p>
  </w:endnote>
  <w:endnote w:type="continuationSeparator" w:id="0">
    <w:p w:rsidR="003B7BFB" w:rsidRDefault="003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29653365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rsidR="003C1FA9" w:rsidRPr="00357321" w:rsidRDefault="003C1FA9"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2</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p w:rsidR="003C1FA9" w:rsidRDefault="003C1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83583456"/>
      <w:docPartObj>
        <w:docPartGallery w:val="Page Numbers (Bottom of Page)"/>
        <w:docPartUnique/>
      </w:docPartObj>
    </w:sdtPr>
    <w:sdtEndPr/>
    <w:sdtContent>
      <w:sdt>
        <w:sdtPr>
          <w:rPr>
            <w:szCs w:val="20"/>
          </w:rPr>
          <w:id w:val="-1734156034"/>
          <w:docPartObj>
            <w:docPartGallery w:val="Page Numbers (Top of Page)"/>
            <w:docPartUnique/>
          </w:docPartObj>
        </w:sdtPr>
        <w:sdtEndPr/>
        <w:sdtContent>
          <w:p w:rsidR="003C1FA9" w:rsidRPr="00357321" w:rsidRDefault="003C1FA9"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10</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p w:rsidR="003C1FA9" w:rsidRDefault="003C1F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566112991"/>
      <w:docPartObj>
        <w:docPartGallery w:val="Page Numbers (Bottom of Page)"/>
        <w:docPartUnique/>
      </w:docPartObj>
    </w:sdtPr>
    <w:sdtEndPr/>
    <w:sdtContent>
      <w:sdt>
        <w:sdtPr>
          <w:rPr>
            <w:szCs w:val="20"/>
          </w:rPr>
          <w:id w:val="-756054040"/>
          <w:docPartObj>
            <w:docPartGallery w:val="Page Numbers (Top of Page)"/>
            <w:docPartUnique/>
          </w:docPartObj>
        </w:sdtPr>
        <w:sdtEndPr/>
        <w:sdtContent>
          <w:p w:rsidR="003C1FA9" w:rsidRPr="00357321" w:rsidRDefault="003C1FA9"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17</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FB" w:rsidRDefault="003B7BFB">
      <w:r>
        <w:separator/>
      </w:r>
    </w:p>
  </w:footnote>
  <w:footnote w:type="continuationSeparator" w:id="0">
    <w:p w:rsidR="003B7BFB" w:rsidRDefault="003B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6F6"/>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E13DE5"/>
    <w:multiLevelType w:val="multilevel"/>
    <w:tmpl w:val="BF081428"/>
    <w:lvl w:ilvl="0">
      <w:start w:val="1"/>
      <w:numFmt w:val="decimal"/>
      <w:lvlText w:val="%1."/>
      <w:legacy w:legacy="1" w:legacySpace="0" w:legacyIndent="0"/>
      <w:lvlJc w:val="left"/>
      <w:pPr>
        <w:ind w:left="1440" w:firstLine="0"/>
      </w:pPr>
    </w:lvl>
    <w:lvl w:ilvl="1">
      <w:start w:val="1"/>
      <w:numFmt w:val="lowerLetter"/>
      <w:lvlText w:val="%2."/>
      <w:legacy w:legacy="1" w:legacySpace="0" w:legacyIndent="0"/>
      <w:lvlJc w:val="left"/>
      <w:pPr>
        <w:ind w:left="1440" w:firstLine="0"/>
      </w:pPr>
    </w:lvl>
    <w:lvl w:ilvl="2">
      <w:start w:val="1"/>
      <w:numFmt w:val="lowerRoman"/>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lowerLetter"/>
      <w:lvlText w:val="(%5)"/>
      <w:legacy w:legacy="1" w:legacySpace="0" w:legacyIndent="0"/>
      <w:lvlJc w:val="left"/>
      <w:pPr>
        <w:ind w:left="1440" w:firstLine="0"/>
      </w:pPr>
    </w:lvl>
    <w:lvl w:ilvl="5">
      <w:start w:val="1"/>
      <w:numFmt w:val="lowerRoman"/>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lowerLetter"/>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2" w15:restartNumberingAfterBreak="0">
    <w:nsid w:val="07D47011"/>
    <w:multiLevelType w:val="multilevel"/>
    <w:tmpl w:val="2FEA7222"/>
    <w:styleLink w:val="StyleNumberedLeft0Hanging05"/>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C43A1"/>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0BA61FA4"/>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0F584E1C"/>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15EF1D1E"/>
    <w:multiLevelType w:val="hybridMultilevel"/>
    <w:tmpl w:val="4C1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F0E05"/>
    <w:multiLevelType w:val="hybridMultilevel"/>
    <w:tmpl w:val="2FEA7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F73F1"/>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48581969"/>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4DB01265"/>
    <w:multiLevelType w:val="multilevel"/>
    <w:tmpl w:val="BF08142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52C35C24"/>
    <w:multiLevelType w:val="hybridMultilevel"/>
    <w:tmpl w:val="10168366"/>
    <w:lvl w:ilvl="0" w:tplc="43D6D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9B258D"/>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5D164CAE"/>
    <w:multiLevelType w:val="hybridMultilevel"/>
    <w:tmpl w:val="05F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6173F"/>
    <w:multiLevelType w:val="hybridMultilevel"/>
    <w:tmpl w:val="0590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846E6"/>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72865118"/>
    <w:multiLevelType w:val="multilevel"/>
    <w:tmpl w:val="7272DA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740771D6"/>
    <w:multiLevelType w:val="hybridMultilevel"/>
    <w:tmpl w:val="F9E09A52"/>
    <w:lvl w:ilvl="0" w:tplc="D3B0C4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D733F"/>
    <w:multiLevelType w:val="multilevel"/>
    <w:tmpl w:val="BF08142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5"/>
  </w:num>
  <w:num w:numId="2">
    <w:abstractNumId w:val="12"/>
  </w:num>
  <w:num w:numId="3">
    <w:abstractNumId w:val="8"/>
  </w:num>
  <w:num w:numId="4">
    <w:abstractNumId w:val="4"/>
  </w:num>
  <w:num w:numId="5">
    <w:abstractNumId w:val="5"/>
  </w:num>
  <w:num w:numId="6">
    <w:abstractNumId w:val="3"/>
  </w:num>
  <w:num w:numId="7">
    <w:abstractNumId w:val="9"/>
  </w:num>
  <w:num w:numId="8">
    <w:abstractNumId w:val="0"/>
  </w:num>
  <w:num w:numId="9">
    <w:abstractNumId w:val="16"/>
  </w:num>
  <w:num w:numId="10">
    <w:abstractNumId w:val="10"/>
  </w:num>
  <w:num w:numId="11">
    <w:abstractNumId w:val="18"/>
  </w:num>
  <w:num w:numId="12">
    <w:abstractNumId w:val="1"/>
  </w:num>
  <w:num w:numId="13">
    <w:abstractNumId w:val="7"/>
  </w:num>
  <w:num w:numId="14">
    <w:abstractNumId w:val="17"/>
  </w:num>
  <w:num w:numId="15">
    <w:abstractNumId w:val="2"/>
  </w:num>
  <w:num w:numId="16">
    <w:abstractNumId w:val="14"/>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A9"/>
    <w:rsid w:val="000015DC"/>
    <w:rsid w:val="000016AC"/>
    <w:rsid w:val="00002138"/>
    <w:rsid w:val="000030EC"/>
    <w:rsid w:val="000036BF"/>
    <w:rsid w:val="00003B37"/>
    <w:rsid w:val="000054C0"/>
    <w:rsid w:val="00005845"/>
    <w:rsid w:val="00006829"/>
    <w:rsid w:val="00007010"/>
    <w:rsid w:val="00007DD1"/>
    <w:rsid w:val="00011103"/>
    <w:rsid w:val="00013FFE"/>
    <w:rsid w:val="0001476D"/>
    <w:rsid w:val="00014B82"/>
    <w:rsid w:val="00014EEC"/>
    <w:rsid w:val="00020F99"/>
    <w:rsid w:val="00022187"/>
    <w:rsid w:val="00024AD1"/>
    <w:rsid w:val="000267D0"/>
    <w:rsid w:val="00026A58"/>
    <w:rsid w:val="00032AC9"/>
    <w:rsid w:val="000400F9"/>
    <w:rsid w:val="00041A6A"/>
    <w:rsid w:val="00041C84"/>
    <w:rsid w:val="00042397"/>
    <w:rsid w:val="000430CB"/>
    <w:rsid w:val="00043C30"/>
    <w:rsid w:val="00043F07"/>
    <w:rsid w:val="00043F1E"/>
    <w:rsid w:val="00047A5C"/>
    <w:rsid w:val="00047CCE"/>
    <w:rsid w:val="00054352"/>
    <w:rsid w:val="0005473D"/>
    <w:rsid w:val="00057336"/>
    <w:rsid w:val="00057D2E"/>
    <w:rsid w:val="0006065F"/>
    <w:rsid w:val="00060C16"/>
    <w:rsid w:val="00063170"/>
    <w:rsid w:val="00063702"/>
    <w:rsid w:val="00063C09"/>
    <w:rsid w:val="0006529B"/>
    <w:rsid w:val="00067E83"/>
    <w:rsid w:val="00071065"/>
    <w:rsid w:val="0007348A"/>
    <w:rsid w:val="0007405F"/>
    <w:rsid w:val="00075246"/>
    <w:rsid w:val="00075548"/>
    <w:rsid w:val="00076548"/>
    <w:rsid w:val="000769AF"/>
    <w:rsid w:val="00081FF5"/>
    <w:rsid w:val="00083399"/>
    <w:rsid w:val="00085DC9"/>
    <w:rsid w:val="00085E28"/>
    <w:rsid w:val="00090B9F"/>
    <w:rsid w:val="0009139B"/>
    <w:rsid w:val="00091CFF"/>
    <w:rsid w:val="00093E6A"/>
    <w:rsid w:val="00095D06"/>
    <w:rsid w:val="000A07C1"/>
    <w:rsid w:val="000A1060"/>
    <w:rsid w:val="000A1E6D"/>
    <w:rsid w:val="000A54B2"/>
    <w:rsid w:val="000A56E3"/>
    <w:rsid w:val="000A5DA5"/>
    <w:rsid w:val="000A7048"/>
    <w:rsid w:val="000B00BB"/>
    <w:rsid w:val="000B0120"/>
    <w:rsid w:val="000B0B8A"/>
    <w:rsid w:val="000B1C36"/>
    <w:rsid w:val="000B4B33"/>
    <w:rsid w:val="000B4BC6"/>
    <w:rsid w:val="000B5008"/>
    <w:rsid w:val="000B71BA"/>
    <w:rsid w:val="000C11CB"/>
    <w:rsid w:val="000C1306"/>
    <w:rsid w:val="000C1881"/>
    <w:rsid w:val="000C2417"/>
    <w:rsid w:val="000C4010"/>
    <w:rsid w:val="000C52AB"/>
    <w:rsid w:val="000C63B7"/>
    <w:rsid w:val="000C7A82"/>
    <w:rsid w:val="000D0794"/>
    <w:rsid w:val="000D0956"/>
    <w:rsid w:val="000D0E2F"/>
    <w:rsid w:val="000D27DC"/>
    <w:rsid w:val="000D5005"/>
    <w:rsid w:val="000D504A"/>
    <w:rsid w:val="000E04FC"/>
    <w:rsid w:val="000E1967"/>
    <w:rsid w:val="000E2DD7"/>
    <w:rsid w:val="000E3087"/>
    <w:rsid w:val="000E31ED"/>
    <w:rsid w:val="000E41A0"/>
    <w:rsid w:val="000E45EB"/>
    <w:rsid w:val="000E4AA9"/>
    <w:rsid w:val="000E77D7"/>
    <w:rsid w:val="000F03DC"/>
    <w:rsid w:val="000F34B2"/>
    <w:rsid w:val="000F3E7B"/>
    <w:rsid w:val="000F3EA9"/>
    <w:rsid w:val="000F41B4"/>
    <w:rsid w:val="000F44B7"/>
    <w:rsid w:val="000F6E4F"/>
    <w:rsid w:val="000F7D91"/>
    <w:rsid w:val="00100220"/>
    <w:rsid w:val="00100C38"/>
    <w:rsid w:val="001046F5"/>
    <w:rsid w:val="001054D7"/>
    <w:rsid w:val="001066BE"/>
    <w:rsid w:val="00106812"/>
    <w:rsid w:val="00110081"/>
    <w:rsid w:val="00111DB8"/>
    <w:rsid w:val="00115436"/>
    <w:rsid w:val="001157FA"/>
    <w:rsid w:val="00115E28"/>
    <w:rsid w:val="00115F96"/>
    <w:rsid w:val="00116052"/>
    <w:rsid w:val="001168D2"/>
    <w:rsid w:val="00116EC3"/>
    <w:rsid w:val="001171AF"/>
    <w:rsid w:val="00120180"/>
    <w:rsid w:val="001206A8"/>
    <w:rsid w:val="00120988"/>
    <w:rsid w:val="0012196F"/>
    <w:rsid w:val="00121AE9"/>
    <w:rsid w:val="00122659"/>
    <w:rsid w:val="001226BC"/>
    <w:rsid w:val="00122ADD"/>
    <w:rsid w:val="00124469"/>
    <w:rsid w:val="001252A0"/>
    <w:rsid w:val="00125DE4"/>
    <w:rsid w:val="00130CC0"/>
    <w:rsid w:val="00131186"/>
    <w:rsid w:val="00131835"/>
    <w:rsid w:val="00133732"/>
    <w:rsid w:val="00134046"/>
    <w:rsid w:val="0013482E"/>
    <w:rsid w:val="00134ACE"/>
    <w:rsid w:val="00135592"/>
    <w:rsid w:val="00135933"/>
    <w:rsid w:val="00135A4F"/>
    <w:rsid w:val="00136828"/>
    <w:rsid w:val="00136F48"/>
    <w:rsid w:val="001436A0"/>
    <w:rsid w:val="00144C08"/>
    <w:rsid w:val="00144E4D"/>
    <w:rsid w:val="0014712D"/>
    <w:rsid w:val="001507BB"/>
    <w:rsid w:val="00150F33"/>
    <w:rsid w:val="0015218E"/>
    <w:rsid w:val="0015269C"/>
    <w:rsid w:val="001534A6"/>
    <w:rsid w:val="00153A72"/>
    <w:rsid w:val="00154297"/>
    <w:rsid w:val="00155233"/>
    <w:rsid w:val="00155A92"/>
    <w:rsid w:val="00157A5C"/>
    <w:rsid w:val="00160312"/>
    <w:rsid w:val="00160EC7"/>
    <w:rsid w:val="001617CE"/>
    <w:rsid w:val="0016507E"/>
    <w:rsid w:val="0016570B"/>
    <w:rsid w:val="0016645A"/>
    <w:rsid w:val="001672E8"/>
    <w:rsid w:val="00172465"/>
    <w:rsid w:val="0017284D"/>
    <w:rsid w:val="00174314"/>
    <w:rsid w:val="001762D0"/>
    <w:rsid w:val="00176A2B"/>
    <w:rsid w:val="001828D7"/>
    <w:rsid w:val="00185989"/>
    <w:rsid w:val="00186EDA"/>
    <w:rsid w:val="00187244"/>
    <w:rsid w:val="001916FE"/>
    <w:rsid w:val="00192355"/>
    <w:rsid w:val="00192BFB"/>
    <w:rsid w:val="00193A15"/>
    <w:rsid w:val="001945A4"/>
    <w:rsid w:val="0019598D"/>
    <w:rsid w:val="00195A00"/>
    <w:rsid w:val="0019723F"/>
    <w:rsid w:val="00197B78"/>
    <w:rsid w:val="001A17D3"/>
    <w:rsid w:val="001A1978"/>
    <w:rsid w:val="001A27E0"/>
    <w:rsid w:val="001A31B7"/>
    <w:rsid w:val="001A36F1"/>
    <w:rsid w:val="001A47BE"/>
    <w:rsid w:val="001A5103"/>
    <w:rsid w:val="001A5780"/>
    <w:rsid w:val="001A6E44"/>
    <w:rsid w:val="001B00A0"/>
    <w:rsid w:val="001B2BE3"/>
    <w:rsid w:val="001B69CA"/>
    <w:rsid w:val="001B711E"/>
    <w:rsid w:val="001C0ABD"/>
    <w:rsid w:val="001C1776"/>
    <w:rsid w:val="001C34CD"/>
    <w:rsid w:val="001C3F0E"/>
    <w:rsid w:val="001C4600"/>
    <w:rsid w:val="001C4D0A"/>
    <w:rsid w:val="001C725A"/>
    <w:rsid w:val="001C7A31"/>
    <w:rsid w:val="001C7A61"/>
    <w:rsid w:val="001D0A4F"/>
    <w:rsid w:val="001D20AD"/>
    <w:rsid w:val="001D2C97"/>
    <w:rsid w:val="001D3DA1"/>
    <w:rsid w:val="001D3EF0"/>
    <w:rsid w:val="001D45C4"/>
    <w:rsid w:val="001D512A"/>
    <w:rsid w:val="001D53AD"/>
    <w:rsid w:val="001D551D"/>
    <w:rsid w:val="001D5F19"/>
    <w:rsid w:val="001D6928"/>
    <w:rsid w:val="001D6CB9"/>
    <w:rsid w:val="001E0724"/>
    <w:rsid w:val="001E07B0"/>
    <w:rsid w:val="001E0FD5"/>
    <w:rsid w:val="001E1F81"/>
    <w:rsid w:val="001E3531"/>
    <w:rsid w:val="001E5610"/>
    <w:rsid w:val="001E6A68"/>
    <w:rsid w:val="001F02F7"/>
    <w:rsid w:val="001F296C"/>
    <w:rsid w:val="001F2A32"/>
    <w:rsid w:val="001F3113"/>
    <w:rsid w:val="001F40E0"/>
    <w:rsid w:val="001F50DF"/>
    <w:rsid w:val="001F78E0"/>
    <w:rsid w:val="001F7A7D"/>
    <w:rsid w:val="00200456"/>
    <w:rsid w:val="00200ABA"/>
    <w:rsid w:val="00201476"/>
    <w:rsid w:val="0020185A"/>
    <w:rsid w:val="002023D0"/>
    <w:rsid w:val="00203BEC"/>
    <w:rsid w:val="00203E93"/>
    <w:rsid w:val="00204056"/>
    <w:rsid w:val="00204998"/>
    <w:rsid w:val="00204FDC"/>
    <w:rsid w:val="002057C5"/>
    <w:rsid w:val="00206263"/>
    <w:rsid w:val="00206458"/>
    <w:rsid w:val="00207A63"/>
    <w:rsid w:val="00210528"/>
    <w:rsid w:val="00211F18"/>
    <w:rsid w:val="00211FF5"/>
    <w:rsid w:val="002124A7"/>
    <w:rsid w:val="002131B8"/>
    <w:rsid w:val="00214620"/>
    <w:rsid w:val="0021472C"/>
    <w:rsid w:val="00215879"/>
    <w:rsid w:val="00220926"/>
    <w:rsid w:val="00220DC2"/>
    <w:rsid w:val="00221012"/>
    <w:rsid w:val="00221587"/>
    <w:rsid w:val="00223B9D"/>
    <w:rsid w:val="00224B41"/>
    <w:rsid w:val="00224E33"/>
    <w:rsid w:val="0023110A"/>
    <w:rsid w:val="0023271B"/>
    <w:rsid w:val="002327CB"/>
    <w:rsid w:val="0023536B"/>
    <w:rsid w:val="00235766"/>
    <w:rsid w:val="00235F06"/>
    <w:rsid w:val="00237FDB"/>
    <w:rsid w:val="00240F82"/>
    <w:rsid w:val="002415A3"/>
    <w:rsid w:val="0024334C"/>
    <w:rsid w:val="0024397D"/>
    <w:rsid w:val="002441FB"/>
    <w:rsid w:val="00244B55"/>
    <w:rsid w:val="00244C20"/>
    <w:rsid w:val="00245BED"/>
    <w:rsid w:val="0024733A"/>
    <w:rsid w:val="002502DB"/>
    <w:rsid w:val="00251CF0"/>
    <w:rsid w:val="00251EEB"/>
    <w:rsid w:val="00251EF4"/>
    <w:rsid w:val="002525F5"/>
    <w:rsid w:val="00254FA9"/>
    <w:rsid w:val="00255934"/>
    <w:rsid w:val="00255A37"/>
    <w:rsid w:val="00255C10"/>
    <w:rsid w:val="00255CAF"/>
    <w:rsid w:val="00256E02"/>
    <w:rsid w:val="00260F90"/>
    <w:rsid w:val="0026306B"/>
    <w:rsid w:val="00263654"/>
    <w:rsid w:val="00263AF1"/>
    <w:rsid w:val="00265822"/>
    <w:rsid w:val="00265AB2"/>
    <w:rsid w:val="00266828"/>
    <w:rsid w:val="00270472"/>
    <w:rsid w:val="0027160C"/>
    <w:rsid w:val="00271785"/>
    <w:rsid w:val="00272300"/>
    <w:rsid w:val="00272938"/>
    <w:rsid w:val="00273B0B"/>
    <w:rsid w:val="00273B4B"/>
    <w:rsid w:val="00274B07"/>
    <w:rsid w:val="0028041B"/>
    <w:rsid w:val="00280A2A"/>
    <w:rsid w:val="002810BA"/>
    <w:rsid w:val="0028177B"/>
    <w:rsid w:val="00281782"/>
    <w:rsid w:val="00283D8A"/>
    <w:rsid w:val="00284F25"/>
    <w:rsid w:val="0028565E"/>
    <w:rsid w:val="00290628"/>
    <w:rsid w:val="002916B0"/>
    <w:rsid w:val="002917EB"/>
    <w:rsid w:val="00295EBF"/>
    <w:rsid w:val="0029718B"/>
    <w:rsid w:val="00297443"/>
    <w:rsid w:val="00297E2D"/>
    <w:rsid w:val="00297EFA"/>
    <w:rsid w:val="002A10A8"/>
    <w:rsid w:val="002A18B5"/>
    <w:rsid w:val="002A3BF7"/>
    <w:rsid w:val="002A3C36"/>
    <w:rsid w:val="002A5725"/>
    <w:rsid w:val="002A578C"/>
    <w:rsid w:val="002A6CF8"/>
    <w:rsid w:val="002A6F7E"/>
    <w:rsid w:val="002A7513"/>
    <w:rsid w:val="002B0EB7"/>
    <w:rsid w:val="002B1253"/>
    <w:rsid w:val="002B2318"/>
    <w:rsid w:val="002B2996"/>
    <w:rsid w:val="002B7413"/>
    <w:rsid w:val="002C03DB"/>
    <w:rsid w:val="002C0602"/>
    <w:rsid w:val="002C0EF2"/>
    <w:rsid w:val="002C15DB"/>
    <w:rsid w:val="002C1E6A"/>
    <w:rsid w:val="002C257E"/>
    <w:rsid w:val="002C30F7"/>
    <w:rsid w:val="002C38C8"/>
    <w:rsid w:val="002C416B"/>
    <w:rsid w:val="002C73F4"/>
    <w:rsid w:val="002D17CD"/>
    <w:rsid w:val="002D1BE5"/>
    <w:rsid w:val="002D2A55"/>
    <w:rsid w:val="002D2B7C"/>
    <w:rsid w:val="002D5F81"/>
    <w:rsid w:val="002D61B7"/>
    <w:rsid w:val="002D7800"/>
    <w:rsid w:val="002D78C8"/>
    <w:rsid w:val="002E0531"/>
    <w:rsid w:val="002E0536"/>
    <w:rsid w:val="002E0FEB"/>
    <w:rsid w:val="002E1772"/>
    <w:rsid w:val="002E1A9F"/>
    <w:rsid w:val="002E3EBB"/>
    <w:rsid w:val="002E3FF4"/>
    <w:rsid w:val="002E5AA0"/>
    <w:rsid w:val="002E5BB5"/>
    <w:rsid w:val="002E5E06"/>
    <w:rsid w:val="002E5E8E"/>
    <w:rsid w:val="002F0238"/>
    <w:rsid w:val="002F2B0A"/>
    <w:rsid w:val="002F35FC"/>
    <w:rsid w:val="002F3A6B"/>
    <w:rsid w:val="002F7B2F"/>
    <w:rsid w:val="0030029F"/>
    <w:rsid w:val="00302898"/>
    <w:rsid w:val="0030305D"/>
    <w:rsid w:val="00303571"/>
    <w:rsid w:val="00304511"/>
    <w:rsid w:val="003050E0"/>
    <w:rsid w:val="00307FF9"/>
    <w:rsid w:val="00312156"/>
    <w:rsid w:val="003139AD"/>
    <w:rsid w:val="0031508B"/>
    <w:rsid w:val="003168BB"/>
    <w:rsid w:val="003233AC"/>
    <w:rsid w:val="00324345"/>
    <w:rsid w:val="00326145"/>
    <w:rsid w:val="00326DA4"/>
    <w:rsid w:val="00327DD6"/>
    <w:rsid w:val="00330733"/>
    <w:rsid w:val="0033168D"/>
    <w:rsid w:val="003316C9"/>
    <w:rsid w:val="003345C4"/>
    <w:rsid w:val="0033591A"/>
    <w:rsid w:val="0033646B"/>
    <w:rsid w:val="003433F6"/>
    <w:rsid w:val="00343648"/>
    <w:rsid w:val="00343DC0"/>
    <w:rsid w:val="003448EA"/>
    <w:rsid w:val="00344C3B"/>
    <w:rsid w:val="00345A86"/>
    <w:rsid w:val="00346186"/>
    <w:rsid w:val="00346493"/>
    <w:rsid w:val="00346BE6"/>
    <w:rsid w:val="0035083A"/>
    <w:rsid w:val="00350B25"/>
    <w:rsid w:val="00350E6A"/>
    <w:rsid w:val="00351EE7"/>
    <w:rsid w:val="003521B1"/>
    <w:rsid w:val="0035255A"/>
    <w:rsid w:val="00352F49"/>
    <w:rsid w:val="00354ED8"/>
    <w:rsid w:val="00355A73"/>
    <w:rsid w:val="00357321"/>
    <w:rsid w:val="003648B4"/>
    <w:rsid w:val="003663C5"/>
    <w:rsid w:val="00367541"/>
    <w:rsid w:val="00367991"/>
    <w:rsid w:val="0037006F"/>
    <w:rsid w:val="00370151"/>
    <w:rsid w:val="00371994"/>
    <w:rsid w:val="00373EA2"/>
    <w:rsid w:val="00375718"/>
    <w:rsid w:val="00381B3E"/>
    <w:rsid w:val="003826B6"/>
    <w:rsid w:val="0038378D"/>
    <w:rsid w:val="003837DA"/>
    <w:rsid w:val="00384D32"/>
    <w:rsid w:val="00385D1A"/>
    <w:rsid w:val="00386CE7"/>
    <w:rsid w:val="00390271"/>
    <w:rsid w:val="00390340"/>
    <w:rsid w:val="00390C9D"/>
    <w:rsid w:val="003917B5"/>
    <w:rsid w:val="00391CAA"/>
    <w:rsid w:val="00395D5A"/>
    <w:rsid w:val="00397663"/>
    <w:rsid w:val="003A127D"/>
    <w:rsid w:val="003A3024"/>
    <w:rsid w:val="003A4B71"/>
    <w:rsid w:val="003A51CE"/>
    <w:rsid w:val="003A5AFD"/>
    <w:rsid w:val="003A68C7"/>
    <w:rsid w:val="003A77DE"/>
    <w:rsid w:val="003A7B19"/>
    <w:rsid w:val="003A7FC2"/>
    <w:rsid w:val="003B396F"/>
    <w:rsid w:val="003B432A"/>
    <w:rsid w:val="003B467B"/>
    <w:rsid w:val="003B5BE9"/>
    <w:rsid w:val="003B7715"/>
    <w:rsid w:val="003B7752"/>
    <w:rsid w:val="003B7BFB"/>
    <w:rsid w:val="003B7F61"/>
    <w:rsid w:val="003C0467"/>
    <w:rsid w:val="003C12AB"/>
    <w:rsid w:val="003C1F00"/>
    <w:rsid w:val="003C1FA9"/>
    <w:rsid w:val="003C2206"/>
    <w:rsid w:val="003C23B3"/>
    <w:rsid w:val="003C26D1"/>
    <w:rsid w:val="003C6B2B"/>
    <w:rsid w:val="003C7060"/>
    <w:rsid w:val="003D08FE"/>
    <w:rsid w:val="003D0A87"/>
    <w:rsid w:val="003D139A"/>
    <w:rsid w:val="003D2141"/>
    <w:rsid w:val="003D285E"/>
    <w:rsid w:val="003D3FB5"/>
    <w:rsid w:val="003D725E"/>
    <w:rsid w:val="003E0A2E"/>
    <w:rsid w:val="003E2923"/>
    <w:rsid w:val="003E2938"/>
    <w:rsid w:val="003E2DC4"/>
    <w:rsid w:val="003E3F0E"/>
    <w:rsid w:val="003E4538"/>
    <w:rsid w:val="003E4CB2"/>
    <w:rsid w:val="003E7A4A"/>
    <w:rsid w:val="003E7E7B"/>
    <w:rsid w:val="003F1111"/>
    <w:rsid w:val="003F16BB"/>
    <w:rsid w:val="003F1949"/>
    <w:rsid w:val="003F3828"/>
    <w:rsid w:val="003F3CD6"/>
    <w:rsid w:val="003F4D42"/>
    <w:rsid w:val="0040080A"/>
    <w:rsid w:val="00402AAC"/>
    <w:rsid w:val="00402F19"/>
    <w:rsid w:val="00404025"/>
    <w:rsid w:val="00404AFC"/>
    <w:rsid w:val="00405939"/>
    <w:rsid w:val="00405EF6"/>
    <w:rsid w:val="00410AA8"/>
    <w:rsid w:val="004114C1"/>
    <w:rsid w:val="004116F2"/>
    <w:rsid w:val="00412E2B"/>
    <w:rsid w:val="004150DE"/>
    <w:rsid w:val="00416DA3"/>
    <w:rsid w:val="004174E9"/>
    <w:rsid w:val="00420C26"/>
    <w:rsid w:val="0042135A"/>
    <w:rsid w:val="00422BB7"/>
    <w:rsid w:val="00425B3B"/>
    <w:rsid w:val="00426721"/>
    <w:rsid w:val="00426ED8"/>
    <w:rsid w:val="004308F0"/>
    <w:rsid w:val="00430D9B"/>
    <w:rsid w:val="00431535"/>
    <w:rsid w:val="00431A36"/>
    <w:rsid w:val="00432D3A"/>
    <w:rsid w:val="00433BED"/>
    <w:rsid w:val="00434AE5"/>
    <w:rsid w:val="004351F7"/>
    <w:rsid w:val="004361A2"/>
    <w:rsid w:val="004363F4"/>
    <w:rsid w:val="00436A8E"/>
    <w:rsid w:val="004409C5"/>
    <w:rsid w:val="00441175"/>
    <w:rsid w:val="00441D54"/>
    <w:rsid w:val="0044331E"/>
    <w:rsid w:val="004445A0"/>
    <w:rsid w:val="004445BE"/>
    <w:rsid w:val="0044566C"/>
    <w:rsid w:val="004458DF"/>
    <w:rsid w:val="0044637B"/>
    <w:rsid w:val="00446E27"/>
    <w:rsid w:val="004534FF"/>
    <w:rsid w:val="00453CE6"/>
    <w:rsid w:val="00455C7F"/>
    <w:rsid w:val="00457100"/>
    <w:rsid w:val="00457F2D"/>
    <w:rsid w:val="004609FA"/>
    <w:rsid w:val="00460AC5"/>
    <w:rsid w:val="00460ADC"/>
    <w:rsid w:val="004626CF"/>
    <w:rsid w:val="00462E5D"/>
    <w:rsid w:val="0046315F"/>
    <w:rsid w:val="00463965"/>
    <w:rsid w:val="00463BCB"/>
    <w:rsid w:val="004657C5"/>
    <w:rsid w:val="00465A71"/>
    <w:rsid w:val="00467238"/>
    <w:rsid w:val="00470E39"/>
    <w:rsid w:val="00471813"/>
    <w:rsid w:val="00472854"/>
    <w:rsid w:val="00472C1C"/>
    <w:rsid w:val="004733DF"/>
    <w:rsid w:val="0047460F"/>
    <w:rsid w:val="00475A49"/>
    <w:rsid w:val="00475CF2"/>
    <w:rsid w:val="00475F28"/>
    <w:rsid w:val="00476120"/>
    <w:rsid w:val="00476AD9"/>
    <w:rsid w:val="00477FFE"/>
    <w:rsid w:val="00480FC7"/>
    <w:rsid w:val="004817C7"/>
    <w:rsid w:val="0048197B"/>
    <w:rsid w:val="0048211D"/>
    <w:rsid w:val="00483AF7"/>
    <w:rsid w:val="004869FC"/>
    <w:rsid w:val="00486E73"/>
    <w:rsid w:val="00490255"/>
    <w:rsid w:val="00490280"/>
    <w:rsid w:val="004902E6"/>
    <w:rsid w:val="00491190"/>
    <w:rsid w:val="0049124E"/>
    <w:rsid w:val="004922BB"/>
    <w:rsid w:val="004925E6"/>
    <w:rsid w:val="00492BC7"/>
    <w:rsid w:val="00493C5E"/>
    <w:rsid w:val="00494A0F"/>
    <w:rsid w:val="00497CB3"/>
    <w:rsid w:val="004A0D96"/>
    <w:rsid w:val="004A1EBD"/>
    <w:rsid w:val="004A1EDA"/>
    <w:rsid w:val="004A1F85"/>
    <w:rsid w:val="004A33E2"/>
    <w:rsid w:val="004A346E"/>
    <w:rsid w:val="004A5158"/>
    <w:rsid w:val="004A524A"/>
    <w:rsid w:val="004A605C"/>
    <w:rsid w:val="004B04A7"/>
    <w:rsid w:val="004B10BD"/>
    <w:rsid w:val="004B1792"/>
    <w:rsid w:val="004B263D"/>
    <w:rsid w:val="004B2643"/>
    <w:rsid w:val="004B3074"/>
    <w:rsid w:val="004B48C3"/>
    <w:rsid w:val="004B5E59"/>
    <w:rsid w:val="004B7C66"/>
    <w:rsid w:val="004C0398"/>
    <w:rsid w:val="004C0B0F"/>
    <w:rsid w:val="004C0BA1"/>
    <w:rsid w:val="004C1A40"/>
    <w:rsid w:val="004C26E5"/>
    <w:rsid w:val="004C4A13"/>
    <w:rsid w:val="004C5A91"/>
    <w:rsid w:val="004C6590"/>
    <w:rsid w:val="004C66A3"/>
    <w:rsid w:val="004C67A5"/>
    <w:rsid w:val="004C717D"/>
    <w:rsid w:val="004C74FD"/>
    <w:rsid w:val="004C755F"/>
    <w:rsid w:val="004C7CE6"/>
    <w:rsid w:val="004D0B96"/>
    <w:rsid w:val="004D2C27"/>
    <w:rsid w:val="004D3D96"/>
    <w:rsid w:val="004D6C51"/>
    <w:rsid w:val="004D7D46"/>
    <w:rsid w:val="004E2C9A"/>
    <w:rsid w:val="004E32DF"/>
    <w:rsid w:val="004E4543"/>
    <w:rsid w:val="004E4B75"/>
    <w:rsid w:val="004E4BD7"/>
    <w:rsid w:val="004E573F"/>
    <w:rsid w:val="004E77DE"/>
    <w:rsid w:val="004E7A3E"/>
    <w:rsid w:val="004F3640"/>
    <w:rsid w:val="004F3801"/>
    <w:rsid w:val="004F4907"/>
    <w:rsid w:val="004F4C49"/>
    <w:rsid w:val="004F60FA"/>
    <w:rsid w:val="004F6775"/>
    <w:rsid w:val="0050009C"/>
    <w:rsid w:val="00500AEA"/>
    <w:rsid w:val="005016AC"/>
    <w:rsid w:val="0050484F"/>
    <w:rsid w:val="00505B63"/>
    <w:rsid w:val="00512CEC"/>
    <w:rsid w:val="00513851"/>
    <w:rsid w:val="0051416D"/>
    <w:rsid w:val="005144A6"/>
    <w:rsid w:val="005154CC"/>
    <w:rsid w:val="00515828"/>
    <w:rsid w:val="0051690B"/>
    <w:rsid w:val="00520DD7"/>
    <w:rsid w:val="00521018"/>
    <w:rsid w:val="00522E7D"/>
    <w:rsid w:val="00523813"/>
    <w:rsid w:val="00523867"/>
    <w:rsid w:val="00524B9C"/>
    <w:rsid w:val="00525467"/>
    <w:rsid w:val="005259B3"/>
    <w:rsid w:val="00526989"/>
    <w:rsid w:val="005274A4"/>
    <w:rsid w:val="00527797"/>
    <w:rsid w:val="005279F6"/>
    <w:rsid w:val="0053004D"/>
    <w:rsid w:val="00530276"/>
    <w:rsid w:val="00530745"/>
    <w:rsid w:val="005307A8"/>
    <w:rsid w:val="0053084A"/>
    <w:rsid w:val="005315FE"/>
    <w:rsid w:val="00531F8E"/>
    <w:rsid w:val="0053385C"/>
    <w:rsid w:val="00534F22"/>
    <w:rsid w:val="0053533C"/>
    <w:rsid w:val="005354AA"/>
    <w:rsid w:val="00535636"/>
    <w:rsid w:val="005359A2"/>
    <w:rsid w:val="005369BD"/>
    <w:rsid w:val="0054174D"/>
    <w:rsid w:val="00542001"/>
    <w:rsid w:val="00547E37"/>
    <w:rsid w:val="005503B4"/>
    <w:rsid w:val="00552103"/>
    <w:rsid w:val="00557402"/>
    <w:rsid w:val="0056256E"/>
    <w:rsid w:val="0056274D"/>
    <w:rsid w:val="00563286"/>
    <w:rsid w:val="00564639"/>
    <w:rsid w:val="00564F8E"/>
    <w:rsid w:val="00565693"/>
    <w:rsid w:val="00565712"/>
    <w:rsid w:val="00565BF5"/>
    <w:rsid w:val="0057089B"/>
    <w:rsid w:val="00571A4E"/>
    <w:rsid w:val="00571C67"/>
    <w:rsid w:val="00571DC7"/>
    <w:rsid w:val="00572538"/>
    <w:rsid w:val="005725C2"/>
    <w:rsid w:val="00574BA8"/>
    <w:rsid w:val="005751FD"/>
    <w:rsid w:val="0057582F"/>
    <w:rsid w:val="005772BA"/>
    <w:rsid w:val="00580B01"/>
    <w:rsid w:val="00580BF4"/>
    <w:rsid w:val="00583581"/>
    <w:rsid w:val="005836CF"/>
    <w:rsid w:val="00583FBA"/>
    <w:rsid w:val="00584945"/>
    <w:rsid w:val="005856F4"/>
    <w:rsid w:val="005857FD"/>
    <w:rsid w:val="00587018"/>
    <w:rsid w:val="00590404"/>
    <w:rsid w:val="0059068D"/>
    <w:rsid w:val="00591566"/>
    <w:rsid w:val="00591CD8"/>
    <w:rsid w:val="005929B2"/>
    <w:rsid w:val="00593F59"/>
    <w:rsid w:val="00594C33"/>
    <w:rsid w:val="0059591D"/>
    <w:rsid w:val="00595FDA"/>
    <w:rsid w:val="005969AF"/>
    <w:rsid w:val="0059704F"/>
    <w:rsid w:val="005A04BB"/>
    <w:rsid w:val="005A0743"/>
    <w:rsid w:val="005A2F07"/>
    <w:rsid w:val="005A49D9"/>
    <w:rsid w:val="005A4C19"/>
    <w:rsid w:val="005A5368"/>
    <w:rsid w:val="005A7ADB"/>
    <w:rsid w:val="005A7E60"/>
    <w:rsid w:val="005B0756"/>
    <w:rsid w:val="005B22D0"/>
    <w:rsid w:val="005B2F54"/>
    <w:rsid w:val="005B4356"/>
    <w:rsid w:val="005B6F68"/>
    <w:rsid w:val="005B7559"/>
    <w:rsid w:val="005C2821"/>
    <w:rsid w:val="005C39BD"/>
    <w:rsid w:val="005C3DCD"/>
    <w:rsid w:val="005C5A05"/>
    <w:rsid w:val="005C6007"/>
    <w:rsid w:val="005D0BC3"/>
    <w:rsid w:val="005D1239"/>
    <w:rsid w:val="005D49E5"/>
    <w:rsid w:val="005D4CA4"/>
    <w:rsid w:val="005D5673"/>
    <w:rsid w:val="005D587A"/>
    <w:rsid w:val="005D5E4E"/>
    <w:rsid w:val="005D612C"/>
    <w:rsid w:val="005D616C"/>
    <w:rsid w:val="005D6D48"/>
    <w:rsid w:val="005D7725"/>
    <w:rsid w:val="005D7754"/>
    <w:rsid w:val="005D7AD3"/>
    <w:rsid w:val="005E0B86"/>
    <w:rsid w:val="005E171F"/>
    <w:rsid w:val="005E263E"/>
    <w:rsid w:val="005E270B"/>
    <w:rsid w:val="005E3FBD"/>
    <w:rsid w:val="005E44E6"/>
    <w:rsid w:val="005E53B2"/>
    <w:rsid w:val="005E59C0"/>
    <w:rsid w:val="005E620F"/>
    <w:rsid w:val="005E63FD"/>
    <w:rsid w:val="005E6461"/>
    <w:rsid w:val="005E6EE5"/>
    <w:rsid w:val="005E6FE9"/>
    <w:rsid w:val="005E7B05"/>
    <w:rsid w:val="005F2108"/>
    <w:rsid w:val="005F311B"/>
    <w:rsid w:val="005F61B7"/>
    <w:rsid w:val="005F6E41"/>
    <w:rsid w:val="005F6F4D"/>
    <w:rsid w:val="005F71B0"/>
    <w:rsid w:val="005F7FCF"/>
    <w:rsid w:val="0060076F"/>
    <w:rsid w:val="00600B81"/>
    <w:rsid w:val="00600E3C"/>
    <w:rsid w:val="00601730"/>
    <w:rsid w:val="00602430"/>
    <w:rsid w:val="00604CFD"/>
    <w:rsid w:val="0060582F"/>
    <w:rsid w:val="00605E74"/>
    <w:rsid w:val="00606299"/>
    <w:rsid w:val="00606510"/>
    <w:rsid w:val="00606947"/>
    <w:rsid w:val="00607160"/>
    <w:rsid w:val="00611397"/>
    <w:rsid w:val="0061230E"/>
    <w:rsid w:val="0061318A"/>
    <w:rsid w:val="00615D49"/>
    <w:rsid w:val="0061615F"/>
    <w:rsid w:val="00616826"/>
    <w:rsid w:val="0062127B"/>
    <w:rsid w:val="00621D66"/>
    <w:rsid w:val="006227C3"/>
    <w:rsid w:val="00622E34"/>
    <w:rsid w:val="00625320"/>
    <w:rsid w:val="00625710"/>
    <w:rsid w:val="006265F2"/>
    <w:rsid w:val="00630302"/>
    <w:rsid w:val="00631352"/>
    <w:rsid w:val="0063197D"/>
    <w:rsid w:val="00632D2D"/>
    <w:rsid w:val="00633DC0"/>
    <w:rsid w:val="006340A8"/>
    <w:rsid w:val="006353A7"/>
    <w:rsid w:val="006353B0"/>
    <w:rsid w:val="00636E33"/>
    <w:rsid w:val="006409F8"/>
    <w:rsid w:val="006419FF"/>
    <w:rsid w:val="00641AF3"/>
    <w:rsid w:val="00643290"/>
    <w:rsid w:val="0064376F"/>
    <w:rsid w:val="00643DA3"/>
    <w:rsid w:val="00645EC3"/>
    <w:rsid w:val="006472F0"/>
    <w:rsid w:val="006475E6"/>
    <w:rsid w:val="00652E2F"/>
    <w:rsid w:val="00652F82"/>
    <w:rsid w:val="00653DB5"/>
    <w:rsid w:val="00656A75"/>
    <w:rsid w:val="00656F5F"/>
    <w:rsid w:val="006608EA"/>
    <w:rsid w:val="0066353E"/>
    <w:rsid w:val="00663EB5"/>
    <w:rsid w:val="0066468B"/>
    <w:rsid w:val="00664724"/>
    <w:rsid w:val="0066684F"/>
    <w:rsid w:val="00666E5F"/>
    <w:rsid w:val="006700C5"/>
    <w:rsid w:val="006708EE"/>
    <w:rsid w:val="006714D0"/>
    <w:rsid w:val="00671FF6"/>
    <w:rsid w:val="006723D8"/>
    <w:rsid w:val="00673339"/>
    <w:rsid w:val="00673365"/>
    <w:rsid w:val="0067496E"/>
    <w:rsid w:val="00674F3F"/>
    <w:rsid w:val="00680151"/>
    <w:rsid w:val="00680B1F"/>
    <w:rsid w:val="006821F6"/>
    <w:rsid w:val="006840BA"/>
    <w:rsid w:val="00686DC8"/>
    <w:rsid w:val="00687C93"/>
    <w:rsid w:val="00691A6C"/>
    <w:rsid w:val="00692798"/>
    <w:rsid w:val="00693046"/>
    <w:rsid w:val="006930B6"/>
    <w:rsid w:val="00693AD2"/>
    <w:rsid w:val="006955B3"/>
    <w:rsid w:val="006A05EC"/>
    <w:rsid w:val="006A0F23"/>
    <w:rsid w:val="006A378D"/>
    <w:rsid w:val="006A4BE5"/>
    <w:rsid w:val="006A66EF"/>
    <w:rsid w:val="006A69F8"/>
    <w:rsid w:val="006B0824"/>
    <w:rsid w:val="006B1279"/>
    <w:rsid w:val="006B4CFC"/>
    <w:rsid w:val="006B53EF"/>
    <w:rsid w:val="006B588D"/>
    <w:rsid w:val="006B6497"/>
    <w:rsid w:val="006B772C"/>
    <w:rsid w:val="006B7C4C"/>
    <w:rsid w:val="006C003A"/>
    <w:rsid w:val="006C0245"/>
    <w:rsid w:val="006C0F2F"/>
    <w:rsid w:val="006C6D7C"/>
    <w:rsid w:val="006C6E14"/>
    <w:rsid w:val="006D0427"/>
    <w:rsid w:val="006D325E"/>
    <w:rsid w:val="006D46EA"/>
    <w:rsid w:val="006D5A08"/>
    <w:rsid w:val="006E179E"/>
    <w:rsid w:val="006E1A53"/>
    <w:rsid w:val="006E1AB4"/>
    <w:rsid w:val="006E3000"/>
    <w:rsid w:val="006E3349"/>
    <w:rsid w:val="006E5DED"/>
    <w:rsid w:val="006E6803"/>
    <w:rsid w:val="006E705A"/>
    <w:rsid w:val="006E74C5"/>
    <w:rsid w:val="006E7CC1"/>
    <w:rsid w:val="006E7D92"/>
    <w:rsid w:val="006F128C"/>
    <w:rsid w:val="006F1726"/>
    <w:rsid w:val="006F2656"/>
    <w:rsid w:val="006F49CF"/>
    <w:rsid w:val="006F5747"/>
    <w:rsid w:val="006F5B20"/>
    <w:rsid w:val="006F6FFC"/>
    <w:rsid w:val="006F7D19"/>
    <w:rsid w:val="00701B1F"/>
    <w:rsid w:val="007041B1"/>
    <w:rsid w:val="00704CA5"/>
    <w:rsid w:val="00705058"/>
    <w:rsid w:val="00707DB9"/>
    <w:rsid w:val="00707E16"/>
    <w:rsid w:val="00710D94"/>
    <w:rsid w:val="00712AF2"/>
    <w:rsid w:val="007138A4"/>
    <w:rsid w:val="00713ACC"/>
    <w:rsid w:val="00713E90"/>
    <w:rsid w:val="00714225"/>
    <w:rsid w:val="0071509B"/>
    <w:rsid w:val="007150A9"/>
    <w:rsid w:val="00715DC2"/>
    <w:rsid w:val="0072229E"/>
    <w:rsid w:val="007232D5"/>
    <w:rsid w:val="00723ED5"/>
    <w:rsid w:val="007241AF"/>
    <w:rsid w:val="00725138"/>
    <w:rsid w:val="00725448"/>
    <w:rsid w:val="00725966"/>
    <w:rsid w:val="00726895"/>
    <w:rsid w:val="00726B1C"/>
    <w:rsid w:val="007318C8"/>
    <w:rsid w:val="00733FA5"/>
    <w:rsid w:val="00735862"/>
    <w:rsid w:val="00736223"/>
    <w:rsid w:val="00737F16"/>
    <w:rsid w:val="00740724"/>
    <w:rsid w:val="00741CC9"/>
    <w:rsid w:val="00742771"/>
    <w:rsid w:val="007436AE"/>
    <w:rsid w:val="00743F9A"/>
    <w:rsid w:val="00746848"/>
    <w:rsid w:val="00746E00"/>
    <w:rsid w:val="007474CF"/>
    <w:rsid w:val="00747A5A"/>
    <w:rsid w:val="00750524"/>
    <w:rsid w:val="00755B32"/>
    <w:rsid w:val="007563D6"/>
    <w:rsid w:val="00756E85"/>
    <w:rsid w:val="007570C5"/>
    <w:rsid w:val="00757673"/>
    <w:rsid w:val="00757FC1"/>
    <w:rsid w:val="00760F24"/>
    <w:rsid w:val="00760FF1"/>
    <w:rsid w:val="00762145"/>
    <w:rsid w:val="0076258F"/>
    <w:rsid w:val="00762B33"/>
    <w:rsid w:val="007643D3"/>
    <w:rsid w:val="00765970"/>
    <w:rsid w:val="00766E25"/>
    <w:rsid w:val="00770A52"/>
    <w:rsid w:val="00771840"/>
    <w:rsid w:val="007737BE"/>
    <w:rsid w:val="00774DBC"/>
    <w:rsid w:val="00775290"/>
    <w:rsid w:val="00775796"/>
    <w:rsid w:val="007816E8"/>
    <w:rsid w:val="0078225F"/>
    <w:rsid w:val="007823D7"/>
    <w:rsid w:val="00782FD0"/>
    <w:rsid w:val="00783A47"/>
    <w:rsid w:val="0078589A"/>
    <w:rsid w:val="00785C7E"/>
    <w:rsid w:val="00785F7F"/>
    <w:rsid w:val="0078681F"/>
    <w:rsid w:val="00790412"/>
    <w:rsid w:val="00790F5D"/>
    <w:rsid w:val="00791C39"/>
    <w:rsid w:val="00791E10"/>
    <w:rsid w:val="00792CC0"/>
    <w:rsid w:val="007937F8"/>
    <w:rsid w:val="007A0018"/>
    <w:rsid w:val="007A3458"/>
    <w:rsid w:val="007A3659"/>
    <w:rsid w:val="007A3FE6"/>
    <w:rsid w:val="007A4B5D"/>
    <w:rsid w:val="007A4CE4"/>
    <w:rsid w:val="007B0F33"/>
    <w:rsid w:val="007B2BE9"/>
    <w:rsid w:val="007B5563"/>
    <w:rsid w:val="007B63E0"/>
    <w:rsid w:val="007C0F06"/>
    <w:rsid w:val="007C37BC"/>
    <w:rsid w:val="007C66DC"/>
    <w:rsid w:val="007D0266"/>
    <w:rsid w:val="007D20E7"/>
    <w:rsid w:val="007D258F"/>
    <w:rsid w:val="007D2807"/>
    <w:rsid w:val="007D3729"/>
    <w:rsid w:val="007D41BF"/>
    <w:rsid w:val="007D48CF"/>
    <w:rsid w:val="007D4986"/>
    <w:rsid w:val="007D611D"/>
    <w:rsid w:val="007D742E"/>
    <w:rsid w:val="007D751C"/>
    <w:rsid w:val="007D76DD"/>
    <w:rsid w:val="007D7D15"/>
    <w:rsid w:val="007E112C"/>
    <w:rsid w:val="007E3454"/>
    <w:rsid w:val="007E3578"/>
    <w:rsid w:val="007E3F05"/>
    <w:rsid w:val="007E436C"/>
    <w:rsid w:val="007E51B5"/>
    <w:rsid w:val="007E5666"/>
    <w:rsid w:val="007E6E93"/>
    <w:rsid w:val="007E7051"/>
    <w:rsid w:val="007F06E3"/>
    <w:rsid w:val="007F2047"/>
    <w:rsid w:val="007F5A6F"/>
    <w:rsid w:val="007F698A"/>
    <w:rsid w:val="007F6C90"/>
    <w:rsid w:val="007F6F3E"/>
    <w:rsid w:val="007F7706"/>
    <w:rsid w:val="00801048"/>
    <w:rsid w:val="0080187B"/>
    <w:rsid w:val="00801F43"/>
    <w:rsid w:val="008026B7"/>
    <w:rsid w:val="008026E5"/>
    <w:rsid w:val="00802FD5"/>
    <w:rsid w:val="00804386"/>
    <w:rsid w:val="00804EE8"/>
    <w:rsid w:val="0080622B"/>
    <w:rsid w:val="00806618"/>
    <w:rsid w:val="00812E13"/>
    <w:rsid w:val="00813074"/>
    <w:rsid w:val="0081330B"/>
    <w:rsid w:val="00813ABA"/>
    <w:rsid w:val="00814725"/>
    <w:rsid w:val="00815DC7"/>
    <w:rsid w:val="00816C79"/>
    <w:rsid w:val="00816F72"/>
    <w:rsid w:val="00817770"/>
    <w:rsid w:val="00820F6E"/>
    <w:rsid w:val="00820F94"/>
    <w:rsid w:val="008214A7"/>
    <w:rsid w:val="00821FFC"/>
    <w:rsid w:val="0082217A"/>
    <w:rsid w:val="00823C5C"/>
    <w:rsid w:val="00823E0C"/>
    <w:rsid w:val="00823F38"/>
    <w:rsid w:val="00824453"/>
    <w:rsid w:val="00825029"/>
    <w:rsid w:val="008272F0"/>
    <w:rsid w:val="008275E8"/>
    <w:rsid w:val="00827C2F"/>
    <w:rsid w:val="008324A5"/>
    <w:rsid w:val="00832BC7"/>
    <w:rsid w:val="00835F59"/>
    <w:rsid w:val="0083728B"/>
    <w:rsid w:val="008417F8"/>
    <w:rsid w:val="00841B88"/>
    <w:rsid w:val="00844269"/>
    <w:rsid w:val="00845E27"/>
    <w:rsid w:val="00847F96"/>
    <w:rsid w:val="008506B7"/>
    <w:rsid w:val="00851E08"/>
    <w:rsid w:val="008523E2"/>
    <w:rsid w:val="008526B6"/>
    <w:rsid w:val="00853315"/>
    <w:rsid w:val="00854313"/>
    <w:rsid w:val="00855143"/>
    <w:rsid w:val="00856D0F"/>
    <w:rsid w:val="008608C7"/>
    <w:rsid w:val="00860BCF"/>
    <w:rsid w:val="00861D72"/>
    <w:rsid w:val="00864092"/>
    <w:rsid w:val="00864098"/>
    <w:rsid w:val="00865538"/>
    <w:rsid w:val="008708A0"/>
    <w:rsid w:val="008738C6"/>
    <w:rsid w:val="0087397A"/>
    <w:rsid w:val="00876634"/>
    <w:rsid w:val="00876EC1"/>
    <w:rsid w:val="008775D4"/>
    <w:rsid w:val="00877B7F"/>
    <w:rsid w:val="008809F0"/>
    <w:rsid w:val="00880F5A"/>
    <w:rsid w:val="00881E81"/>
    <w:rsid w:val="00883627"/>
    <w:rsid w:val="00884EF7"/>
    <w:rsid w:val="00885087"/>
    <w:rsid w:val="00887031"/>
    <w:rsid w:val="00887F3A"/>
    <w:rsid w:val="0089016D"/>
    <w:rsid w:val="00890250"/>
    <w:rsid w:val="00890571"/>
    <w:rsid w:val="008906F3"/>
    <w:rsid w:val="00890CD9"/>
    <w:rsid w:val="008916CB"/>
    <w:rsid w:val="008917B3"/>
    <w:rsid w:val="0089186D"/>
    <w:rsid w:val="0089206C"/>
    <w:rsid w:val="008927FA"/>
    <w:rsid w:val="0089297B"/>
    <w:rsid w:val="00892988"/>
    <w:rsid w:val="0089343F"/>
    <w:rsid w:val="00893888"/>
    <w:rsid w:val="00893C85"/>
    <w:rsid w:val="00894B2F"/>
    <w:rsid w:val="00895295"/>
    <w:rsid w:val="00896B13"/>
    <w:rsid w:val="008975B8"/>
    <w:rsid w:val="008A0042"/>
    <w:rsid w:val="008A2C44"/>
    <w:rsid w:val="008A30DF"/>
    <w:rsid w:val="008A35DA"/>
    <w:rsid w:val="008A3AFA"/>
    <w:rsid w:val="008A4101"/>
    <w:rsid w:val="008A48AB"/>
    <w:rsid w:val="008A4F9E"/>
    <w:rsid w:val="008A58D1"/>
    <w:rsid w:val="008A5A27"/>
    <w:rsid w:val="008A5C00"/>
    <w:rsid w:val="008A6A11"/>
    <w:rsid w:val="008B0204"/>
    <w:rsid w:val="008B0FD1"/>
    <w:rsid w:val="008B14E2"/>
    <w:rsid w:val="008B25B6"/>
    <w:rsid w:val="008B30C8"/>
    <w:rsid w:val="008B3AC2"/>
    <w:rsid w:val="008B3C00"/>
    <w:rsid w:val="008B5350"/>
    <w:rsid w:val="008B5385"/>
    <w:rsid w:val="008B5F37"/>
    <w:rsid w:val="008C0091"/>
    <w:rsid w:val="008C2D92"/>
    <w:rsid w:val="008C2E43"/>
    <w:rsid w:val="008C35AA"/>
    <w:rsid w:val="008C3CBC"/>
    <w:rsid w:val="008C4A82"/>
    <w:rsid w:val="008C56AF"/>
    <w:rsid w:val="008D10E3"/>
    <w:rsid w:val="008D1A64"/>
    <w:rsid w:val="008D1DA9"/>
    <w:rsid w:val="008D3052"/>
    <w:rsid w:val="008D5D1D"/>
    <w:rsid w:val="008E04EC"/>
    <w:rsid w:val="008E078D"/>
    <w:rsid w:val="008E2328"/>
    <w:rsid w:val="008E25E4"/>
    <w:rsid w:val="008E36F4"/>
    <w:rsid w:val="008E395B"/>
    <w:rsid w:val="008E4217"/>
    <w:rsid w:val="008E4A3B"/>
    <w:rsid w:val="008E4E52"/>
    <w:rsid w:val="008E514D"/>
    <w:rsid w:val="008E557D"/>
    <w:rsid w:val="008E6B9E"/>
    <w:rsid w:val="008F0EA3"/>
    <w:rsid w:val="008F15EE"/>
    <w:rsid w:val="008F165D"/>
    <w:rsid w:val="008F1849"/>
    <w:rsid w:val="008F1956"/>
    <w:rsid w:val="008F19F1"/>
    <w:rsid w:val="008F2318"/>
    <w:rsid w:val="008F2C44"/>
    <w:rsid w:val="008F368F"/>
    <w:rsid w:val="008F3C13"/>
    <w:rsid w:val="008F7696"/>
    <w:rsid w:val="008F77C4"/>
    <w:rsid w:val="008F7BD5"/>
    <w:rsid w:val="009003F0"/>
    <w:rsid w:val="00903A59"/>
    <w:rsid w:val="00904C5B"/>
    <w:rsid w:val="0090534A"/>
    <w:rsid w:val="0090584F"/>
    <w:rsid w:val="0090780B"/>
    <w:rsid w:val="009107BB"/>
    <w:rsid w:val="009112AA"/>
    <w:rsid w:val="00911F0A"/>
    <w:rsid w:val="00912A60"/>
    <w:rsid w:val="00913244"/>
    <w:rsid w:val="00920022"/>
    <w:rsid w:val="0092171C"/>
    <w:rsid w:val="009233A0"/>
    <w:rsid w:val="009241C5"/>
    <w:rsid w:val="00925A4E"/>
    <w:rsid w:val="009268A4"/>
    <w:rsid w:val="0092696D"/>
    <w:rsid w:val="00926D07"/>
    <w:rsid w:val="00927162"/>
    <w:rsid w:val="009275A0"/>
    <w:rsid w:val="00932E17"/>
    <w:rsid w:val="009330A2"/>
    <w:rsid w:val="009340FC"/>
    <w:rsid w:val="0093496C"/>
    <w:rsid w:val="00936D6B"/>
    <w:rsid w:val="00937061"/>
    <w:rsid w:val="0093747D"/>
    <w:rsid w:val="00937E9E"/>
    <w:rsid w:val="009412DE"/>
    <w:rsid w:val="00942D40"/>
    <w:rsid w:val="00943696"/>
    <w:rsid w:val="0094392B"/>
    <w:rsid w:val="009516E3"/>
    <w:rsid w:val="00952307"/>
    <w:rsid w:val="009549E9"/>
    <w:rsid w:val="009550CF"/>
    <w:rsid w:val="00956FE8"/>
    <w:rsid w:val="00957005"/>
    <w:rsid w:val="009606A3"/>
    <w:rsid w:val="00961AE1"/>
    <w:rsid w:val="00962411"/>
    <w:rsid w:val="00963765"/>
    <w:rsid w:val="00966638"/>
    <w:rsid w:val="009715DA"/>
    <w:rsid w:val="0097230C"/>
    <w:rsid w:val="009729D0"/>
    <w:rsid w:val="00973540"/>
    <w:rsid w:val="009744D1"/>
    <w:rsid w:val="0097563C"/>
    <w:rsid w:val="0097573D"/>
    <w:rsid w:val="009757B6"/>
    <w:rsid w:val="00977547"/>
    <w:rsid w:val="00977B21"/>
    <w:rsid w:val="00980808"/>
    <w:rsid w:val="009809F9"/>
    <w:rsid w:val="00983E83"/>
    <w:rsid w:val="00986EB9"/>
    <w:rsid w:val="0099130F"/>
    <w:rsid w:val="009929F8"/>
    <w:rsid w:val="00994BB3"/>
    <w:rsid w:val="009A20FB"/>
    <w:rsid w:val="009A2891"/>
    <w:rsid w:val="009A3C39"/>
    <w:rsid w:val="009A41EB"/>
    <w:rsid w:val="009A45E9"/>
    <w:rsid w:val="009A619F"/>
    <w:rsid w:val="009A6BE4"/>
    <w:rsid w:val="009A70A5"/>
    <w:rsid w:val="009B0DB1"/>
    <w:rsid w:val="009B1C7B"/>
    <w:rsid w:val="009B21E0"/>
    <w:rsid w:val="009B3494"/>
    <w:rsid w:val="009B48D1"/>
    <w:rsid w:val="009C3773"/>
    <w:rsid w:val="009C3FF7"/>
    <w:rsid w:val="009C5F5E"/>
    <w:rsid w:val="009C6112"/>
    <w:rsid w:val="009C6D1B"/>
    <w:rsid w:val="009D1A2B"/>
    <w:rsid w:val="009D25F4"/>
    <w:rsid w:val="009D268F"/>
    <w:rsid w:val="009D49F0"/>
    <w:rsid w:val="009D4B34"/>
    <w:rsid w:val="009D50EF"/>
    <w:rsid w:val="009D78E9"/>
    <w:rsid w:val="009E135A"/>
    <w:rsid w:val="009E1588"/>
    <w:rsid w:val="009E34BB"/>
    <w:rsid w:val="009E58E2"/>
    <w:rsid w:val="009E59DC"/>
    <w:rsid w:val="009F2055"/>
    <w:rsid w:val="009F398B"/>
    <w:rsid w:val="009F3D62"/>
    <w:rsid w:val="009F4A51"/>
    <w:rsid w:val="009F4BE3"/>
    <w:rsid w:val="009F59CF"/>
    <w:rsid w:val="00A01726"/>
    <w:rsid w:val="00A01FDD"/>
    <w:rsid w:val="00A025A2"/>
    <w:rsid w:val="00A031BD"/>
    <w:rsid w:val="00A03E18"/>
    <w:rsid w:val="00A04403"/>
    <w:rsid w:val="00A0515F"/>
    <w:rsid w:val="00A05A9F"/>
    <w:rsid w:val="00A0693B"/>
    <w:rsid w:val="00A107B8"/>
    <w:rsid w:val="00A1083E"/>
    <w:rsid w:val="00A10D30"/>
    <w:rsid w:val="00A110F6"/>
    <w:rsid w:val="00A11D5D"/>
    <w:rsid w:val="00A1268D"/>
    <w:rsid w:val="00A12A6A"/>
    <w:rsid w:val="00A130B1"/>
    <w:rsid w:val="00A16B13"/>
    <w:rsid w:val="00A16C13"/>
    <w:rsid w:val="00A20C27"/>
    <w:rsid w:val="00A22809"/>
    <w:rsid w:val="00A24DDB"/>
    <w:rsid w:val="00A25555"/>
    <w:rsid w:val="00A258D5"/>
    <w:rsid w:val="00A2735F"/>
    <w:rsid w:val="00A27BFE"/>
    <w:rsid w:val="00A30A71"/>
    <w:rsid w:val="00A30C54"/>
    <w:rsid w:val="00A331FE"/>
    <w:rsid w:val="00A34CD1"/>
    <w:rsid w:val="00A35EBB"/>
    <w:rsid w:val="00A364E6"/>
    <w:rsid w:val="00A36D27"/>
    <w:rsid w:val="00A36E03"/>
    <w:rsid w:val="00A37574"/>
    <w:rsid w:val="00A37B4F"/>
    <w:rsid w:val="00A407FC"/>
    <w:rsid w:val="00A411FA"/>
    <w:rsid w:val="00A414EC"/>
    <w:rsid w:val="00A4287B"/>
    <w:rsid w:val="00A43381"/>
    <w:rsid w:val="00A43A00"/>
    <w:rsid w:val="00A442D0"/>
    <w:rsid w:val="00A44E86"/>
    <w:rsid w:val="00A460AE"/>
    <w:rsid w:val="00A466ED"/>
    <w:rsid w:val="00A474B4"/>
    <w:rsid w:val="00A51EBC"/>
    <w:rsid w:val="00A52AFB"/>
    <w:rsid w:val="00A52B1D"/>
    <w:rsid w:val="00A53B0F"/>
    <w:rsid w:val="00A54610"/>
    <w:rsid w:val="00A54CFC"/>
    <w:rsid w:val="00A5522C"/>
    <w:rsid w:val="00A55A03"/>
    <w:rsid w:val="00A60A70"/>
    <w:rsid w:val="00A615E7"/>
    <w:rsid w:val="00A649BF"/>
    <w:rsid w:val="00A65517"/>
    <w:rsid w:val="00A65594"/>
    <w:rsid w:val="00A655FB"/>
    <w:rsid w:val="00A66627"/>
    <w:rsid w:val="00A71000"/>
    <w:rsid w:val="00A72580"/>
    <w:rsid w:val="00A736D7"/>
    <w:rsid w:val="00A74718"/>
    <w:rsid w:val="00A751B3"/>
    <w:rsid w:val="00A760ED"/>
    <w:rsid w:val="00A76226"/>
    <w:rsid w:val="00A76DB2"/>
    <w:rsid w:val="00A85EE7"/>
    <w:rsid w:val="00A861B6"/>
    <w:rsid w:val="00A874FE"/>
    <w:rsid w:val="00A90859"/>
    <w:rsid w:val="00A90FE1"/>
    <w:rsid w:val="00A9237B"/>
    <w:rsid w:val="00A9347F"/>
    <w:rsid w:val="00A954E9"/>
    <w:rsid w:val="00A95C9A"/>
    <w:rsid w:val="00AA02EB"/>
    <w:rsid w:val="00AA1398"/>
    <w:rsid w:val="00AA38B0"/>
    <w:rsid w:val="00AA42A8"/>
    <w:rsid w:val="00AA55B5"/>
    <w:rsid w:val="00AA7984"/>
    <w:rsid w:val="00AB067C"/>
    <w:rsid w:val="00AB0DBB"/>
    <w:rsid w:val="00AB1D22"/>
    <w:rsid w:val="00AB7393"/>
    <w:rsid w:val="00AC0436"/>
    <w:rsid w:val="00AC0B87"/>
    <w:rsid w:val="00AC0DF9"/>
    <w:rsid w:val="00AC1B05"/>
    <w:rsid w:val="00AC208A"/>
    <w:rsid w:val="00AD07E1"/>
    <w:rsid w:val="00AD1CA2"/>
    <w:rsid w:val="00AD223E"/>
    <w:rsid w:val="00AD271C"/>
    <w:rsid w:val="00AD3E88"/>
    <w:rsid w:val="00AD4403"/>
    <w:rsid w:val="00AD5648"/>
    <w:rsid w:val="00AD7235"/>
    <w:rsid w:val="00AE1F00"/>
    <w:rsid w:val="00AE28F5"/>
    <w:rsid w:val="00AE4524"/>
    <w:rsid w:val="00AE4989"/>
    <w:rsid w:val="00AE4CA9"/>
    <w:rsid w:val="00AE538A"/>
    <w:rsid w:val="00AE53B1"/>
    <w:rsid w:val="00AE60A7"/>
    <w:rsid w:val="00AE715A"/>
    <w:rsid w:val="00AE7A35"/>
    <w:rsid w:val="00AE7FF4"/>
    <w:rsid w:val="00AF01D4"/>
    <w:rsid w:val="00AF196A"/>
    <w:rsid w:val="00AF2B35"/>
    <w:rsid w:val="00AF2EC4"/>
    <w:rsid w:val="00AF2F95"/>
    <w:rsid w:val="00AF5033"/>
    <w:rsid w:val="00AF5C20"/>
    <w:rsid w:val="00AF62A5"/>
    <w:rsid w:val="00B00543"/>
    <w:rsid w:val="00B0098C"/>
    <w:rsid w:val="00B01091"/>
    <w:rsid w:val="00B014BB"/>
    <w:rsid w:val="00B01DA0"/>
    <w:rsid w:val="00B06FC4"/>
    <w:rsid w:val="00B07053"/>
    <w:rsid w:val="00B07505"/>
    <w:rsid w:val="00B108B8"/>
    <w:rsid w:val="00B11C1F"/>
    <w:rsid w:val="00B1399E"/>
    <w:rsid w:val="00B13DEA"/>
    <w:rsid w:val="00B15FCF"/>
    <w:rsid w:val="00B1628A"/>
    <w:rsid w:val="00B170E9"/>
    <w:rsid w:val="00B21FEA"/>
    <w:rsid w:val="00B23E41"/>
    <w:rsid w:val="00B25A95"/>
    <w:rsid w:val="00B260C4"/>
    <w:rsid w:val="00B30CF3"/>
    <w:rsid w:val="00B30FF5"/>
    <w:rsid w:val="00B31325"/>
    <w:rsid w:val="00B3284F"/>
    <w:rsid w:val="00B32EAE"/>
    <w:rsid w:val="00B333D0"/>
    <w:rsid w:val="00B3474A"/>
    <w:rsid w:val="00B35FDA"/>
    <w:rsid w:val="00B36D31"/>
    <w:rsid w:val="00B37E22"/>
    <w:rsid w:val="00B421B1"/>
    <w:rsid w:val="00B42A15"/>
    <w:rsid w:val="00B42BA3"/>
    <w:rsid w:val="00B43A5D"/>
    <w:rsid w:val="00B4447D"/>
    <w:rsid w:val="00B44C6C"/>
    <w:rsid w:val="00B46134"/>
    <w:rsid w:val="00B4651C"/>
    <w:rsid w:val="00B46A5B"/>
    <w:rsid w:val="00B50223"/>
    <w:rsid w:val="00B5222E"/>
    <w:rsid w:val="00B53C65"/>
    <w:rsid w:val="00B53FED"/>
    <w:rsid w:val="00B54364"/>
    <w:rsid w:val="00B546A7"/>
    <w:rsid w:val="00B54E9E"/>
    <w:rsid w:val="00B574D0"/>
    <w:rsid w:val="00B57887"/>
    <w:rsid w:val="00B57A5D"/>
    <w:rsid w:val="00B57B85"/>
    <w:rsid w:val="00B614E7"/>
    <w:rsid w:val="00B61CAB"/>
    <w:rsid w:val="00B65026"/>
    <w:rsid w:val="00B657E0"/>
    <w:rsid w:val="00B70388"/>
    <w:rsid w:val="00B7241D"/>
    <w:rsid w:val="00B729EA"/>
    <w:rsid w:val="00B73166"/>
    <w:rsid w:val="00B75A87"/>
    <w:rsid w:val="00B75FE8"/>
    <w:rsid w:val="00B7686A"/>
    <w:rsid w:val="00B812F1"/>
    <w:rsid w:val="00B82234"/>
    <w:rsid w:val="00B83B09"/>
    <w:rsid w:val="00B84448"/>
    <w:rsid w:val="00B84D4A"/>
    <w:rsid w:val="00B8608F"/>
    <w:rsid w:val="00B865BD"/>
    <w:rsid w:val="00B86C53"/>
    <w:rsid w:val="00B91950"/>
    <w:rsid w:val="00B91C22"/>
    <w:rsid w:val="00B924FC"/>
    <w:rsid w:val="00B953C2"/>
    <w:rsid w:val="00B955A3"/>
    <w:rsid w:val="00B95F26"/>
    <w:rsid w:val="00B97B17"/>
    <w:rsid w:val="00BA0E23"/>
    <w:rsid w:val="00BA2609"/>
    <w:rsid w:val="00BA2AA0"/>
    <w:rsid w:val="00BA2DCC"/>
    <w:rsid w:val="00BA41EF"/>
    <w:rsid w:val="00BA5A1B"/>
    <w:rsid w:val="00BA5C81"/>
    <w:rsid w:val="00BA6056"/>
    <w:rsid w:val="00BA626C"/>
    <w:rsid w:val="00BA66B0"/>
    <w:rsid w:val="00BA7D82"/>
    <w:rsid w:val="00BB0C5C"/>
    <w:rsid w:val="00BB1878"/>
    <w:rsid w:val="00BB35AA"/>
    <w:rsid w:val="00BB6AF2"/>
    <w:rsid w:val="00BB6DF4"/>
    <w:rsid w:val="00BC0B64"/>
    <w:rsid w:val="00BC1CCE"/>
    <w:rsid w:val="00BC20C1"/>
    <w:rsid w:val="00BC26F7"/>
    <w:rsid w:val="00BC2C1B"/>
    <w:rsid w:val="00BC34A0"/>
    <w:rsid w:val="00BC37D0"/>
    <w:rsid w:val="00BC5AB9"/>
    <w:rsid w:val="00BC7488"/>
    <w:rsid w:val="00BC7C69"/>
    <w:rsid w:val="00BD14EE"/>
    <w:rsid w:val="00BD1622"/>
    <w:rsid w:val="00BD3616"/>
    <w:rsid w:val="00BD4323"/>
    <w:rsid w:val="00BD4F1C"/>
    <w:rsid w:val="00BD6D66"/>
    <w:rsid w:val="00BE0280"/>
    <w:rsid w:val="00BE0FE4"/>
    <w:rsid w:val="00BE108A"/>
    <w:rsid w:val="00BE1159"/>
    <w:rsid w:val="00BE204D"/>
    <w:rsid w:val="00BE2BFF"/>
    <w:rsid w:val="00BE4A74"/>
    <w:rsid w:val="00BE6E76"/>
    <w:rsid w:val="00BE7B31"/>
    <w:rsid w:val="00BF022A"/>
    <w:rsid w:val="00BF02AE"/>
    <w:rsid w:val="00BF0C59"/>
    <w:rsid w:val="00BF25C6"/>
    <w:rsid w:val="00BF346C"/>
    <w:rsid w:val="00BF3EA8"/>
    <w:rsid w:val="00BF4A45"/>
    <w:rsid w:val="00BF57FB"/>
    <w:rsid w:val="00BF65A0"/>
    <w:rsid w:val="00C002BA"/>
    <w:rsid w:val="00C0113E"/>
    <w:rsid w:val="00C04BD8"/>
    <w:rsid w:val="00C062C0"/>
    <w:rsid w:val="00C10529"/>
    <w:rsid w:val="00C116D5"/>
    <w:rsid w:val="00C11B26"/>
    <w:rsid w:val="00C12DDF"/>
    <w:rsid w:val="00C13003"/>
    <w:rsid w:val="00C13732"/>
    <w:rsid w:val="00C139BE"/>
    <w:rsid w:val="00C13A7A"/>
    <w:rsid w:val="00C13BB8"/>
    <w:rsid w:val="00C144DE"/>
    <w:rsid w:val="00C16FBE"/>
    <w:rsid w:val="00C20B1F"/>
    <w:rsid w:val="00C26759"/>
    <w:rsid w:val="00C268D6"/>
    <w:rsid w:val="00C311E1"/>
    <w:rsid w:val="00C31467"/>
    <w:rsid w:val="00C314D3"/>
    <w:rsid w:val="00C329E0"/>
    <w:rsid w:val="00C33013"/>
    <w:rsid w:val="00C3328E"/>
    <w:rsid w:val="00C36DAE"/>
    <w:rsid w:val="00C37CAD"/>
    <w:rsid w:val="00C401DB"/>
    <w:rsid w:val="00C40203"/>
    <w:rsid w:val="00C42048"/>
    <w:rsid w:val="00C4740A"/>
    <w:rsid w:val="00C50862"/>
    <w:rsid w:val="00C52374"/>
    <w:rsid w:val="00C55326"/>
    <w:rsid w:val="00C566AC"/>
    <w:rsid w:val="00C572DD"/>
    <w:rsid w:val="00C57450"/>
    <w:rsid w:val="00C604DE"/>
    <w:rsid w:val="00C612AC"/>
    <w:rsid w:val="00C62B2A"/>
    <w:rsid w:val="00C63F06"/>
    <w:rsid w:val="00C6408D"/>
    <w:rsid w:val="00C64834"/>
    <w:rsid w:val="00C65695"/>
    <w:rsid w:val="00C7471A"/>
    <w:rsid w:val="00C74EEF"/>
    <w:rsid w:val="00C75BC1"/>
    <w:rsid w:val="00C760ED"/>
    <w:rsid w:val="00C77844"/>
    <w:rsid w:val="00C80F7D"/>
    <w:rsid w:val="00C81B84"/>
    <w:rsid w:val="00C84421"/>
    <w:rsid w:val="00C8772C"/>
    <w:rsid w:val="00C919D7"/>
    <w:rsid w:val="00C9516A"/>
    <w:rsid w:val="00C96154"/>
    <w:rsid w:val="00C9744B"/>
    <w:rsid w:val="00C977AB"/>
    <w:rsid w:val="00C97CA6"/>
    <w:rsid w:val="00CA262E"/>
    <w:rsid w:val="00CA2AB8"/>
    <w:rsid w:val="00CA554C"/>
    <w:rsid w:val="00CA5CC4"/>
    <w:rsid w:val="00CA61F9"/>
    <w:rsid w:val="00CA681D"/>
    <w:rsid w:val="00CB11FE"/>
    <w:rsid w:val="00CB13F9"/>
    <w:rsid w:val="00CB1A57"/>
    <w:rsid w:val="00CB2819"/>
    <w:rsid w:val="00CB328F"/>
    <w:rsid w:val="00CB537E"/>
    <w:rsid w:val="00CB6696"/>
    <w:rsid w:val="00CB6DD3"/>
    <w:rsid w:val="00CC0A95"/>
    <w:rsid w:val="00CC153E"/>
    <w:rsid w:val="00CC1B31"/>
    <w:rsid w:val="00CC35C5"/>
    <w:rsid w:val="00CC3B92"/>
    <w:rsid w:val="00CC5AFF"/>
    <w:rsid w:val="00CC71D2"/>
    <w:rsid w:val="00CC7226"/>
    <w:rsid w:val="00CC7362"/>
    <w:rsid w:val="00CC73E1"/>
    <w:rsid w:val="00CC77DF"/>
    <w:rsid w:val="00CD015D"/>
    <w:rsid w:val="00CD1A8F"/>
    <w:rsid w:val="00CD2375"/>
    <w:rsid w:val="00CD33AA"/>
    <w:rsid w:val="00CD3BFD"/>
    <w:rsid w:val="00CD4A76"/>
    <w:rsid w:val="00CD63C0"/>
    <w:rsid w:val="00CE0C03"/>
    <w:rsid w:val="00CE0E47"/>
    <w:rsid w:val="00CE13A8"/>
    <w:rsid w:val="00CE14D1"/>
    <w:rsid w:val="00CE3870"/>
    <w:rsid w:val="00CE4ABC"/>
    <w:rsid w:val="00CE6324"/>
    <w:rsid w:val="00CE67DC"/>
    <w:rsid w:val="00CE6C5E"/>
    <w:rsid w:val="00CF07EF"/>
    <w:rsid w:val="00CF0902"/>
    <w:rsid w:val="00CF104F"/>
    <w:rsid w:val="00CF1385"/>
    <w:rsid w:val="00CF140E"/>
    <w:rsid w:val="00CF2251"/>
    <w:rsid w:val="00CF2B24"/>
    <w:rsid w:val="00CF3AA8"/>
    <w:rsid w:val="00CF3FCD"/>
    <w:rsid w:val="00CF4056"/>
    <w:rsid w:val="00CF53AC"/>
    <w:rsid w:val="00CF5E04"/>
    <w:rsid w:val="00D000D4"/>
    <w:rsid w:val="00D0059E"/>
    <w:rsid w:val="00D01CEE"/>
    <w:rsid w:val="00D01DC8"/>
    <w:rsid w:val="00D052ED"/>
    <w:rsid w:val="00D0538B"/>
    <w:rsid w:val="00D0552E"/>
    <w:rsid w:val="00D07978"/>
    <w:rsid w:val="00D14686"/>
    <w:rsid w:val="00D14E16"/>
    <w:rsid w:val="00D159E0"/>
    <w:rsid w:val="00D15A31"/>
    <w:rsid w:val="00D20403"/>
    <w:rsid w:val="00D20B7E"/>
    <w:rsid w:val="00D23B9F"/>
    <w:rsid w:val="00D2488B"/>
    <w:rsid w:val="00D24A65"/>
    <w:rsid w:val="00D2526C"/>
    <w:rsid w:val="00D255CF"/>
    <w:rsid w:val="00D25901"/>
    <w:rsid w:val="00D25AD8"/>
    <w:rsid w:val="00D25C12"/>
    <w:rsid w:val="00D27A6F"/>
    <w:rsid w:val="00D27B5C"/>
    <w:rsid w:val="00D327A2"/>
    <w:rsid w:val="00D330DC"/>
    <w:rsid w:val="00D334F8"/>
    <w:rsid w:val="00D36410"/>
    <w:rsid w:val="00D36F21"/>
    <w:rsid w:val="00D379ED"/>
    <w:rsid w:val="00D41764"/>
    <w:rsid w:val="00D41A48"/>
    <w:rsid w:val="00D42324"/>
    <w:rsid w:val="00D42BED"/>
    <w:rsid w:val="00D43338"/>
    <w:rsid w:val="00D449C9"/>
    <w:rsid w:val="00D44F0E"/>
    <w:rsid w:val="00D4578E"/>
    <w:rsid w:val="00D46614"/>
    <w:rsid w:val="00D46A0D"/>
    <w:rsid w:val="00D46F84"/>
    <w:rsid w:val="00D47735"/>
    <w:rsid w:val="00D5001C"/>
    <w:rsid w:val="00D503B0"/>
    <w:rsid w:val="00D53EE4"/>
    <w:rsid w:val="00D54254"/>
    <w:rsid w:val="00D548E5"/>
    <w:rsid w:val="00D5560A"/>
    <w:rsid w:val="00D56F78"/>
    <w:rsid w:val="00D57444"/>
    <w:rsid w:val="00D57B60"/>
    <w:rsid w:val="00D6055A"/>
    <w:rsid w:val="00D6080D"/>
    <w:rsid w:val="00D6188C"/>
    <w:rsid w:val="00D61B43"/>
    <w:rsid w:val="00D621FA"/>
    <w:rsid w:val="00D66B1B"/>
    <w:rsid w:val="00D67033"/>
    <w:rsid w:val="00D67D45"/>
    <w:rsid w:val="00D747B8"/>
    <w:rsid w:val="00D760B9"/>
    <w:rsid w:val="00D772CE"/>
    <w:rsid w:val="00D80154"/>
    <w:rsid w:val="00D80FAD"/>
    <w:rsid w:val="00D814D6"/>
    <w:rsid w:val="00D84C9B"/>
    <w:rsid w:val="00D85AB4"/>
    <w:rsid w:val="00D86B32"/>
    <w:rsid w:val="00D875A0"/>
    <w:rsid w:val="00D87D29"/>
    <w:rsid w:val="00D91580"/>
    <w:rsid w:val="00D924CF"/>
    <w:rsid w:val="00D93B12"/>
    <w:rsid w:val="00D9418F"/>
    <w:rsid w:val="00D9482E"/>
    <w:rsid w:val="00D9536B"/>
    <w:rsid w:val="00D968A8"/>
    <w:rsid w:val="00D96906"/>
    <w:rsid w:val="00D96E69"/>
    <w:rsid w:val="00D9746B"/>
    <w:rsid w:val="00D97EF6"/>
    <w:rsid w:val="00D97F54"/>
    <w:rsid w:val="00DA0A40"/>
    <w:rsid w:val="00DA21AB"/>
    <w:rsid w:val="00DA3954"/>
    <w:rsid w:val="00DA3FC6"/>
    <w:rsid w:val="00DA4E93"/>
    <w:rsid w:val="00DA5629"/>
    <w:rsid w:val="00DA765E"/>
    <w:rsid w:val="00DB052E"/>
    <w:rsid w:val="00DB0B6B"/>
    <w:rsid w:val="00DB1A70"/>
    <w:rsid w:val="00DB1C06"/>
    <w:rsid w:val="00DB1C6D"/>
    <w:rsid w:val="00DB374F"/>
    <w:rsid w:val="00DB4FE4"/>
    <w:rsid w:val="00DB50BB"/>
    <w:rsid w:val="00DB555A"/>
    <w:rsid w:val="00DB6F01"/>
    <w:rsid w:val="00DC0760"/>
    <w:rsid w:val="00DC0E05"/>
    <w:rsid w:val="00DC21C2"/>
    <w:rsid w:val="00DC33FF"/>
    <w:rsid w:val="00DC41BB"/>
    <w:rsid w:val="00DC4D7C"/>
    <w:rsid w:val="00DC5466"/>
    <w:rsid w:val="00DC5ED1"/>
    <w:rsid w:val="00DC6159"/>
    <w:rsid w:val="00DC7BEB"/>
    <w:rsid w:val="00DD0939"/>
    <w:rsid w:val="00DD0995"/>
    <w:rsid w:val="00DD0C45"/>
    <w:rsid w:val="00DE1959"/>
    <w:rsid w:val="00DE5016"/>
    <w:rsid w:val="00DE5260"/>
    <w:rsid w:val="00DE7424"/>
    <w:rsid w:val="00DE7A12"/>
    <w:rsid w:val="00DE7B7F"/>
    <w:rsid w:val="00DE7E19"/>
    <w:rsid w:val="00DF219C"/>
    <w:rsid w:val="00DF2A2F"/>
    <w:rsid w:val="00DF383C"/>
    <w:rsid w:val="00DF3A5F"/>
    <w:rsid w:val="00DF4D82"/>
    <w:rsid w:val="00DF5BBF"/>
    <w:rsid w:val="00DF6452"/>
    <w:rsid w:val="00DF7D5F"/>
    <w:rsid w:val="00E00D28"/>
    <w:rsid w:val="00E03423"/>
    <w:rsid w:val="00E03C97"/>
    <w:rsid w:val="00E05463"/>
    <w:rsid w:val="00E05955"/>
    <w:rsid w:val="00E05EA1"/>
    <w:rsid w:val="00E05FCB"/>
    <w:rsid w:val="00E07FFE"/>
    <w:rsid w:val="00E10B11"/>
    <w:rsid w:val="00E10BFC"/>
    <w:rsid w:val="00E13A78"/>
    <w:rsid w:val="00E13ACC"/>
    <w:rsid w:val="00E1513E"/>
    <w:rsid w:val="00E168B8"/>
    <w:rsid w:val="00E17B83"/>
    <w:rsid w:val="00E222F3"/>
    <w:rsid w:val="00E22B1D"/>
    <w:rsid w:val="00E2396F"/>
    <w:rsid w:val="00E2688C"/>
    <w:rsid w:val="00E30598"/>
    <w:rsid w:val="00E30C1B"/>
    <w:rsid w:val="00E3177B"/>
    <w:rsid w:val="00E32338"/>
    <w:rsid w:val="00E3283E"/>
    <w:rsid w:val="00E32DA1"/>
    <w:rsid w:val="00E356CF"/>
    <w:rsid w:val="00E36920"/>
    <w:rsid w:val="00E3727C"/>
    <w:rsid w:val="00E42047"/>
    <w:rsid w:val="00E426F6"/>
    <w:rsid w:val="00E44F60"/>
    <w:rsid w:val="00E45D48"/>
    <w:rsid w:val="00E50D6F"/>
    <w:rsid w:val="00E5192F"/>
    <w:rsid w:val="00E51A38"/>
    <w:rsid w:val="00E51CC2"/>
    <w:rsid w:val="00E54647"/>
    <w:rsid w:val="00E56E25"/>
    <w:rsid w:val="00E575DA"/>
    <w:rsid w:val="00E57818"/>
    <w:rsid w:val="00E61433"/>
    <w:rsid w:val="00E62890"/>
    <w:rsid w:val="00E63063"/>
    <w:rsid w:val="00E63DCE"/>
    <w:rsid w:val="00E6400C"/>
    <w:rsid w:val="00E64522"/>
    <w:rsid w:val="00E656BE"/>
    <w:rsid w:val="00E6597A"/>
    <w:rsid w:val="00E716F3"/>
    <w:rsid w:val="00E71CC2"/>
    <w:rsid w:val="00E725C0"/>
    <w:rsid w:val="00E7520B"/>
    <w:rsid w:val="00E766B1"/>
    <w:rsid w:val="00E82620"/>
    <w:rsid w:val="00E85CEA"/>
    <w:rsid w:val="00E8618D"/>
    <w:rsid w:val="00E90628"/>
    <w:rsid w:val="00E912DD"/>
    <w:rsid w:val="00E9193A"/>
    <w:rsid w:val="00E922CF"/>
    <w:rsid w:val="00E95305"/>
    <w:rsid w:val="00E95F41"/>
    <w:rsid w:val="00E9616E"/>
    <w:rsid w:val="00E96CB2"/>
    <w:rsid w:val="00E97B1D"/>
    <w:rsid w:val="00EA0A36"/>
    <w:rsid w:val="00EA0B73"/>
    <w:rsid w:val="00EA17CF"/>
    <w:rsid w:val="00EA25B4"/>
    <w:rsid w:val="00EA29CC"/>
    <w:rsid w:val="00EA3782"/>
    <w:rsid w:val="00EA4DA2"/>
    <w:rsid w:val="00EA6A27"/>
    <w:rsid w:val="00EA6A68"/>
    <w:rsid w:val="00EA783E"/>
    <w:rsid w:val="00EB11CC"/>
    <w:rsid w:val="00EB2DDB"/>
    <w:rsid w:val="00EB2FED"/>
    <w:rsid w:val="00EB38DF"/>
    <w:rsid w:val="00EB3AE3"/>
    <w:rsid w:val="00EB3BB1"/>
    <w:rsid w:val="00EB4D70"/>
    <w:rsid w:val="00EB505E"/>
    <w:rsid w:val="00EB6062"/>
    <w:rsid w:val="00EC005F"/>
    <w:rsid w:val="00EC1374"/>
    <w:rsid w:val="00EC152C"/>
    <w:rsid w:val="00EC386B"/>
    <w:rsid w:val="00EC78DF"/>
    <w:rsid w:val="00ED479A"/>
    <w:rsid w:val="00ED5D1E"/>
    <w:rsid w:val="00ED6A49"/>
    <w:rsid w:val="00ED6D49"/>
    <w:rsid w:val="00ED71BC"/>
    <w:rsid w:val="00ED7960"/>
    <w:rsid w:val="00EE163D"/>
    <w:rsid w:val="00EE1F42"/>
    <w:rsid w:val="00EE1F7E"/>
    <w:rsid w:val="00EE24D4"/>
    <w:rsid w:val="00EE2A13"/>
    <w:rsid w:val="00EE2C0B"/>
    <w:rsid w:val="00EE3008"/>
    <w:rsid w:val="00EE400E"/>
    <w:rsid w:val="00EE550F"/>
    <w:rsid w:val="00EE749F"/>
    <w:rsid w:val="00EE76E7"/>
    <w:rsid w:val="00EF0622"/>
    <w:rsid w:val="00EF0AE7"/>
    <w:rsid w:val="00EF1042"/>
    <w:rsid w:val="00EF2C3D"/>
    <w:rsid w:val="00EF4033"/>
    <w:rsid w:val="00EF6944"/>
    <w:rsid w:val="00F003E3"/>
    <w:rsid w:val="00F00D9C"/>
    <w:rsid w:val="00F01742"/>
    <w:rsid w:val="00F0181A"/>
    <w:rsid w:val="00F02253"/>
    <w:rsid w:val="00F0266E"/>
    <w:rsid w:val="00F026FB"/>
    <w:rsid w:val="00F0348A"/>
    <w:rsid w:val="00F03515"/>
    <w:rsid w:val="00F07934"/>
    <w:rsid w:val="00F10E2D"/>
    <w:rsid w:val="00F10FA7"/>
    <w:rsid w:val="00F133BE"/>
    <w:rsid w:val="00F146FC"/>
    <w:rsid w:val="00F16DE8"/>
    <w:rsid w:val="00F202C0"/>
    <w:rsid w:val="00F20742"/>
    <w:rsid w:val="00F21A29"/>
    <w:rsid w:val="00F234BC"/>
    <w:rsid w:val="00F25BA4"/>
    <w:rsid w:val="00F3093A"/>
    <w:rsid w:val="00F30F4F"/>
    <w:rsid w:val="00F3274B"/>
    <w:rsid w:val="00F3319F"/>
    <w:rsid w:val="00F376FF"/>
    <w:rsid w:val="00F37D7C"/>
    <w:rsid w:val="00F4070E"/>
    <w:rsid w:val="00F414A0"/>
    <w:rsid w:val="00F434C7"/>
    <w:rsid w:val="00F435F5"/>
    <w:rsid w:val="00F4517C"/>
    <w:rsid w:val="00F47009"/>
    <w:rsid w:val="00F500FD"/>
    <w:rsid w:val="00F513C4"/>
    <w:rsid w:val="00F517E5"/>
    <w:rsid w:val="00F53676"/>
    <w:rsid w:val="00F54A4E"/>
    <w:rsid w:val="00F563BF"/>
    <w:rsid w:val="00F57B58"/>
    <w:rsid w:val="00F57DF0"/>
    <w:rsid w:val="00F6043F"/>
    <w:rsid w:val="00F60548"/>
    <w:rsid w:val="00F63434"/>
    <w:rsid w:val="00F64B9C"/>
    <w:rsid w:val="00F65D29"/>
    <w:rsid w:val="00F66083"/>
    <w:rsid w:val="00F67CBD"/>
    <w:rsid w:val="00F71CC0"/>
    <w:rsid w:val="00F71E06"/>
    <w:rsid w:val="00F737E5"/>
    <w:rsid w:val="00F73E5D"/>
    <w:rsid w:val="00F74960"/>
    <w:rsid w:val="00F74E45"/>
    <w:rsid w:val="00F769B4"/>
    <w:rsid w:val="00F8028C"/>
    <w:rsid w:val="00F80DAF"/>
    <w:rsid w:val="00F81BD7"/>
    <w:rsid w:val="00F820ED"/>
    <w:rsid w:val="00F8374E"/>
    <w:rsid w:val="00F8513A"/>
    <w:rsid w:val="00F86067"/>
    <w:rsid w:val="00F87355"/>
    <w:rsid w:val="00F91916"/>
    <w:rsid w:val="00F921A6"/>
    <w:rsid w:val="00F9242C"/>
    <w:rsid w:val="00F92663"/>
    <w:rsid w:val="00F93EDC"/>
    <w:rsid w:val="00F94596"/>
    <w:rsid w:val="00F94CB1"/>
    <w:rsid w:val="00F94F11"/>
    <w:rsid w:val="00F953C5"/>
    <w:rsid w:val="00FA032E"/>
    <w:rsid w:val="00FA1327"/>
    <w:rsid w:val="00FA1A86"/>
    <w:rsid w:val="00FA2CAD"/>
    <w:rsid w:val="00FA3497"/>
    <w:rsid w:val="00FA383A"/>
    <w:rsid w:val="00FA3B02"/>
    <w:rsid w:val="00FA3C6D"/>
    <w:rsid w:val="00FA3EA1"/>
    <w:rsid w:val="00FA4F81"/>
    <w:rsid w:val="00FA7659"/>
    <w:rsid w:val="00FA77CF"/>
    <w:rsid w:val="00FB081F"/>
    <w:rsid w:val="00FB0ECA"/>
    <w:rsid w:val="00FB333F"/>
    <w:rsid w:val="00FB4CD7"/>
    <w:rsid w:val="00FB5E9C"/>
    <w:rsid w:val="00FB62CD"/>
    <w:rsid w:val="00FB7737"/>
    <w:rsid w:val="00FB7D87"/>
    <w:rsid w:val="00FC2AB7"/>
    <w:rsid w:val="00FC2EA3"/>
    <w:rsid w:val="00FC3F41"/>
    <w:rsid w:val="00FC4E5B"/>
    <w:rsid w:val="00FC5C35"/>
    <w:rsid w:val="00FC666B"/>
    <w:rsid w:val="00FC6E10"/>
    <w:rsid w:val="00FC7A78"/>
    <w:rsid w:val="00FC7EDA"/>
    <w:rsid w:val="00FD0215"/>
    <w:rsid w:val="00FD06F7"/>
    <w:rsid w:val="00FD25B5"/>
    <w:rsid w:val="00FD36B9"/>
    <w:rsid w:val="00FD3BE3"/>
    <w:rsid w:val="00FD7319"/>
    <w:rsid w:val="00FD79B0"/>
    <w:rsid w:val="00FD7B4B"/>
    <w:rsid w:val="00FE13C9"/>
    <w:rsid w:val="00FE399B"/>
    <w:rsid w:val="00FE719C"/>
    <w:rsid w:val="00FF05A4"/>
    <w:rsid w:val="00FF0A4B"/>
    <w:rsid w:val="00FF15F9"/>
    <w:rsid w:val="00FF2C3A"/>
    <w:rsid w:val="00FF303F"/>
    <w:rsid w:val="00FF3EA8"/>
    <w:rsid w:val="00FF3F06"/>
    <w:rsid w:val="00FF466F"/>
    <w:rsid w:val="00FF58DA"/>
    <w:rsid w:val="00FF5FCE"/>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20B41A"/>
  <w15:docId w15:val="{31642652-A4DA-4CC5-8A99-3CCB93A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37E"/>
    <w:pPr>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FF466F"/>
    <w:pPr>
      <w:tabs>
        <w:tab w:val="center" w:pos="4320"/>
        <w:tab w:val="right" w:pos="8640"/>
      </w:tabs>
    </w:pPr>
  </w:style>
  <w:style w:type="character" w:styleId="CommentReference">
    <w:name w:val="annotation reference"/>
    <w:semiHidden/>
    <w:rsid w:val="00157A5C"/>
    <w:rPr>
      <w:sz w:val="16"/>
      <w:szCs w:val="16"/>
    </w:rPr>
  </w:style>
  <w:style w:type="paragraph" w:styleId="CommentText">
    <w:name w:val="annotation text"/>
    <w:basedOn w:val="Normal"/>
    <w:link w:val="CommentTextChar"/>
    <w:semiHidden/>
    <w:rsid w:val="00157A5C"/>
    <w:rPr>
      <w:szCs w:val="20"/>
    </w:rPr>
  </w:style>
  <w:style w:type="paragraph" w:styleId="CommentSubject">
    <w:name w:val="annotation subject"/>
    <w:basedOn w:val="CommentText"/>
    <w:next w:val="CommentText"/>
    <w:semiHidden/>
    <w:rsid w:val="00157A5C"/>
    <w:rPr>
      <w:b/>
      <w:bCs/>
    </w:rPr>
  </w:style>
  <w:style w:type="paragraph" w:styleId="BalloonText">
    <w:name w:val="Balloon Text"/>
    <w:basedOn w:val="Normal"/>
    <w:semiHidden/>
    <w:rsid w:val="00157A5C"/>
    <w:rPr>
      <w:rFonts w:ascii="Tahoma" w:hAnsi="Tahoma" w:cs="Tahoma"/>
      <w:sz w:val="16"/>
      <w:szCs w:val="16"/>
    </w:rPr>
  </w:style>
  <w:style w:type="character" w:styleId="PageNumber">
    <w:name w:val="page number"/>
    <w:basedOn w:val="DefaultParagraphFont"/>
    <w:rsid w:val="00EB2DDB"/>
  </w:style>
  <w:style w:type="table" w:styleId="TableGrid">
    <w:name w:val="Table Grid"/>
    <w:basedOn w:val="TableNormal"/>
    <w:rsid w:val="000F3EA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74E45"/>
    <w:pPr>
      <w:autoSpaceDE w:val="0"/>
      <w:autoSpaceDN w:val="0"/>
      <w:adjustRightInd w:val="0"/>
      <w:ind w:left="720"/>
    </w:pPr>
    <w:rPr>
      <w:rFonts w:eastAsia="SimSun"/>
      <w:sz w:val="24"/>
      <w:szCs w:val="24"/>
      <w:lang w:eastAsia="zh-CN"/>
    </w:rPr>
  </w:style>
  <w:style w:type="paragraph" w:customStyle="1" w:styleId="Level2">
    <w:name w:val="Level 2"/>
    <w:rsid w:val="00F74E45"/>
    <w:pPr>
      <w:autoSpaceDE w:val="0"/>
      <w:autoSpaceDN w:val="0"/>
      <w:adjustRightInd w:val="0"/>
      <w:ind w:left="1440"/>
    </w:pPr>
    <w:rPr>
      <w:rFonts w:eastAsia="SimSun"/>
      <w:sz w:val="24"/>
      <w:szCs w:val="24"/>
      <w:lang w:eastAsia="zh-CN"/>
    </w:rPr>
  </w:style>
  <w:style w:type="paragraph" w:customStyle="1" w:styleId="Level3">
    <w:name w:val="Level 3"/>
    <w:rsid w:val="00F74E45"/>
    <w:pPr>
      <w:autoSpaceDE w:val="0"/>
      <w:autoSpaceDN w:val="0"/>
      <w:adjustRightInd w:val="0"/>
      <w:ind w:left="2160"/>
    </w:pPr>
    <w:rPr>
      <w:rFonts w:eastAsia="SimSun"/>
      <w:sz w:val="24"/>
      <w:szCs w:val="24"/>
      <w:lang w:eastAsia="zh-CN"/>
    </w:rPr>
  </w:style>
  <w:style w:type="paragraph" w:customStyle="1" w:styleId="Level4">
    <w:name w:val="Level 4"/>
    <w:rsid w:val="00F74E45"/>
    <w:pPr>
      <w:autoSpaceDE w:val="0"/>
      <w:autoSpaceDN w:val="0"/>
      <w:adjustRightInd w:val="0"/>
      <w:ind w:left="2880"/>
    </w:pPr>
    <w:rPr>
      <w:rFonts w:eastAsia="SimSun"/>
      <w:sz w:val="24"/>
      <w:szCs w:val="24"/>
      <w:lang w:eastAsia="zh-CN"/>
    </w:rPr>
  </w:style>
  <w:style w:type="paragraph" w:customStyle="1" w:styleId="Level5">
    <w:name w:val="Level 5"/>
    <w:rsid w:val="00F74E45"/>
    <w:pPr>
      <w:autoSpaceDE w:val="0"/>
      <w:autoSpaceDN w:val="0"/>
      <w:adjustRightInd w:val="0"/>
      <w:ind w:left="3600"/>
    </w:pPr>
    <w:rPr>
      <w:rFonts w:eastAsia="SimSun"/>
      <w:sz w:val="24"/>
      <w:szCs w:val="24"/>
      <w:lang w:eastAsia="zh-CN"/>
    </w:rPr>
  </w:style>
  <w:style w:type="paragraph" w:customStyle="1" w:styleId="Level6">
    <w:name w:val="Level 6"/>
    <w:rsid w:val="00F74E45"/>
    <w:pPr>
      <w:autoSpaceDE w:val="0"/>
      <w:autoSpaceDN w:val="0"/>
      <w:adjustRightInd w:val="0"/>
      <w:ind w:left="-1440"/>
    </w:pPr>
    <w:rPr>
      <w:rFonts w:eastAsia="SimSun"/>
      <w:sz w:val="24"/>
      <w:szCs w:val="24"/>
      <w:lang w:eastAsia="zh-CN"/>
    </w:rPr>
  </w:style>
  <w:style w:type="paragraph" w:customStyle="1" w:styleId="Level7">
    <w:name w:val="Level 7"/>
    <w:rsid w:val="00F74E45"/>
    <w:pPr>
      <w:autoSpaceDE w:val="0"/>
      <w:autoSpaceDN w:val="0"/>
      <w:adjustRightInd w:val="0"/>
      <w:ind w:left="-1440"/>
    </w:pPr>
    <w:rPr>
      <w:rFonts w:eastAsia="SimSun"/>
      <w:sz w:val="24"/>
      <w:szCs w:val="24"/>
      <w:lang w:eastAsia="zh-CN"/>
    </w:rPr>
  </w:style>
  <w:style w:type="paragraph" w:customStyle="1" w:styleId="Level8">
    <w:name w:val="Level 8"/>
    <w:rsid w:val="00F74E45"/>
    <w:pPr>
      <w:autoSpaceDE w:val="0"/>
      <w:autoSpaceDN w:val="0"/>
      <w:adjustRightInd w:val="0"/>
      <w:ind w:left="-1440"/>
    </w:pPr>
    <w:rPr>
      <w:rFonts w:eastAsia="SimSun"/>
      <w:sz w:val="24"/>
      <w:szCs w:val="24"/>
      <w:lang w:eastAsia="zh-CN"/>
    </w:rPr>
  </w:style>
  <w:style w:type="paragraph" w:customStyle="1" w:styleId="Level9">
    <w:name w:val="Level 9"/>
    <w:rsid w:val="00F74E45"/>
    <w:pPr>
      <w:autoSpaceDE w:val="0"/>
      <w:autoSpaceDN w:val="0"/>
      <w:adjustRightInd w:val="0"/>
      <w:ind w:left="-1440"/>
    </w:pPr>
    <w:rPr>
      <w:rFonts w:eastAsia="SimSun"/>
      <w:b/>
      <w:bCs/>
      <w:sz w:val="24"/>
      <w:szCs w:val="24"/>
      <w:lang w:eastAsia="zh-CN"/>
    </w:rPr>
  </w:style>
  <w:style w:type="character" w:styleId="Hyperlink">
    <w:name w:val="Hyperlink"/>
    <w:rsid w:val="008B0FD1"/>
    <w:rPr>
      <w:color w:val="0000FF"/>
      <w:u w:val="single"/>
    </w:rPr>
  </w:style>
  <w:style w:type="character" w:styleId="Strong">
    <w:name w:val="Strong"/>
    <w:qFormat/>
    <w:rsid w:val="002A578C"/>
    <w:rPr>
      <w:b/>
      <w:bCs/>
    </w:rPr>
  </w:style>
  <w:style w:type="character" w:styleId="FollowedHyperlink">
    <w:name w:val="FollowedHyperlink"/>
    <w:rsid w:val="007A4CE4"/>
    <w:rPr>
      <w:color w:val="800080"/>
      <w:u w:val="single"/>
    </w:rPr>
  </w:style>
  <w:style w:type="paragraph" w:styleId="DocumentMap">
    <w:name w:val="Document Map"/>
    <w:basedOn w:val="Normal"/>
    <w:link w:val="DocumentMapChar"/>
    <w:rsid w:val="001F40E0"/>
    <w:rPr>
      <w:rFonts w:ascii="Tahoma" w:hAnsi="Tahoma" w:cs="Tahoma"/>
      <w:sz w:val="16"/>
      <w:szCs w:val="16"/>
    </w:rPr>
  </w:style>
  <w:style w:type="character" w:customStyle="1" w:styleId="DocumentMapChar">
    <w:name w:val="Document Map Char"/>
    <w:link w:val="DocumentMap"/>
    <w:rsid w:val="001F40E0"/>
    <w:rPr>
      <w:rFonts w:ascii="Tahoma" w:hAnsi="Tahoma" w:cs="Tahoma"/>
      <w:sz w:val="16"/>
      <w:szCs w:val="16"/>
    </w:rPr>
  </w:style>
  <w:style w:type="numbering" w:customStyle="1" w:styleId="StyleNumberedLeft0Hanging05">
    <w:name w:val="Style Numbered Left:  0&quot; Hanging:  0.5&quot;"/>
    <w:basedOn w:val="NoList"/>
    <w:rsid w:val="00A54610"/>
    <w:pPr>
      <w:numPr>
        <w:numId w:val="15"/>
      </w:numPr>
    </w:pPr>
  </w:style>
  <w:style w:type="character" w:customStyle="1" w:styleId="CommentTextChar">
    <w:name w:val="Comment Text Char"/>
    <w:basedOn w:val="DefaultParagraphFont"/>
    <w:link w:val="CommentText"/>
    <w:semiHidden/>
    <w:rsid w:val="002C0EF2"/>
  </w:style>
  <w:style w:type="paragraph" w:styleId="ListParagraph">
    <w:name w:val="List Paragraph"/>
    <w:basedOn w:val="Normal"/>
    <w:uiPriority w:val="34"/>
    <w:qFormat/>
    <w:rsid w:val="00D20B7E"/>
    <w:pPr>
      <w:ind w:left="720"/>
      <w:contextualSpacing/>
    </w:pPr>
  </w:style>
  <w:style w:type="paragraph" w:styleId="Header">
    <w:name w:val="header"/>
    <w:basedOn w:val="Normal"/>
    <w:link w:val="HeaderChar"/>
    <w:unhideWhenUsed/>
    <w:rsid w:val="004B7C66"/>
    <w:pPr>
      <w:tabs>
        <w:tab w:val="center" w:pos="4680"/>
        <w:tab w:val="right" w:pos="9360"/>
      </w:tabs>
    </w:pPr>
  </w:style>
  <w:style w:type="character" w:customStyle="1" w:styleId="HeaderChar">
    <w:name w:val="Header Char"/>
    <w:basedOn w:val="DefaultParagraphFont"/>
    <w:link w:val="Header"/>
    <w:rsid w:val="004B7C66"/>
    <w:rPr>
      <w:rFonts w:ascii="Arial" w:hAnsi="Arial"/>
      <w:szCs w:val="24"/>
    </w:rPr>
  </w:style>
  <w:style w:type="paragraph" w:styleId="BodyText">
    <w:name w:val="Body Text"/>
    <w:link w:val="BodyTextChar"/>
    <w:qFormat/>
    <w:rsid w:val="00AB0DBB"/>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B0DBB"/>
    <w:rPr>
      <w:rFonts w:ascii="Lucida Bright" w:eastAsiaTheme="minorHAnsi" w:hAnsi="Lucida Bright" w:cstheme="minorBidi"/>
      <w:szCs w:val="24"/>
    </w:rPr>
  </w:style>
  <w:style w:type="character" w:customStyle="1" w:styleId="FooterChar">
    <w:name w:val="Footer Char"/>
    <w:basedOn w:val="DefaultParagraphFont"/>
    <w:link w:val="Footer"/>
    <w:uiPriority w:val="99"/>
    <w:rsid w:val="0035732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50069">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tceq.texas.gov/permitting/air/permitbyrule/historical_rules/old106list/index10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ceq.texas.gov/permitting/air/permitbyrule/air_pbr_index.html" TargetMode="External"/><Relationship Id="rId2" Type="http://schemas.openxmlformats.org/officeDocument/2006/relationships/numbering" Target="numbering.xml"/><Relationship Id="rId16" Type="http://schemas.openxmlformats.org/officeDocument/2006/relationships/hyperlink" Target="https://www.tceq.texas.gov/permitting/air/nav/air_status_permits.html" TargetMode="External"/><Relationship Id="rId20" Type="http://schemas.openxmlformats.org/officeDocument/2006/relationships/hyperlink" Target="https://www.tceq.texas.gov/permitting/air/nav/air_pb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air/nav/air_supportsys.html" TargetMode="External"/><Relationship Id="rId5" Type="http://schemas.openxmlformats.org/officeDocument/2006/relationships/webSettings" Target="webSettings.xml"/><Relationship Id="rId15" Type="http://schemas.openxmlformats.org/officeDocument/2006/relationships/hyperlink" Target="https://www.tceq.texas.gov/goto/cfr-online" TargetMode="External"/><Relationship Id="rId10" Type="http://schemas.openxmlformats.org/officeDocument/2006/relationships/hyperlink" Target="http://www.tceq.texas.gov/permitting/air/nav/air_all_ua_forms.html" TargetMode="External"/><Relationship Id="rId19" Type="http://schemas.openxmlformats.org/officeDocument/2006/relationships/hyperlink" Target="http://www.tceq.texas.gov/permitting/air/permitbyrule/historical_rules/oldselist/se_index.html" TargetMode="External"/><Relationship Id="rId4" Type="http://schemas.openxmlformats.org/officeDocument/2006/relationships/settings" Target="settings.xml"/><Relationship Id="rId9" Type="http://schemas.openxmlformats.org/officeDocument/2006/relationships/hyperlink" Target="https://www.tceq.texas.gov/permitting/air/newsourcereview/de_minimis.html" TargetMode="External"/><Relationship Id="rId14" Type="http://schemas.openxmlformats.org/officeDocument/2006/relationships/hyperlink" Target="http://www.tceq.texas.gov/permitting/air/nav/air_status_permi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78C8-F256-4077-9447-AEBA6F33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112</Pages>
  <Words>38301</Words>
  <Characters>209761</Characters>
  <Application>Microsoft Office Word</Application>
  <DocSecurity>0</DocSecurity>
  <Lines>1748</Lines>
  <Paragraphs>495</Paragraphs>
  <ScaleCrop>false</ScaleCrop>
  <HeadingPairs>
    <vt:vector size="2" baseType="variant">
      <vt:variant>
        <vt:lpstr>Title</vt:lpstr>
      </vt:variant>
      <vt:variant>
        <vt:i4>1</vt:i4>
      </vt:variant>
    </vt:vector>
  </HeadingPairs>
  <TitlesOfParts>
    <vt:vector size="1" baseType="lpstr">
      <vt:lpstr>Statement of Basis</vt:lpstr>
    </vt:vector>
  </TitlesOfParts>
  <Company>TCEQ</Company>
  <LinksUpToDate>false</LinksUpToDate>
  <CharactersWithSpaces>247567</CharactersWithSpaces>
  <SharedDoc>false</SharedDoc>
  <HLinks>
    <vt:vector size="24" baseType="variant">
      <vt:variant>
        <vt:i4>4718599</vt:i4>
      </vt:variant>
      <vt:variant>
        <vt:i4>13</vt:i4>
      </vt:variant>
      <vt:variant>
        <vt:i4>0</vt:i4>
      </vt:variant>
      <vt:variant>
        <vt:i4>5</vt:i4>
      </vt:variant>
      <vt:variant>
        <vt:lpwstr>http://www.tceq.texas.gov/permitting/air/permitbyrule/historical_rules/oldselist/se_index.html</vt:lpwstr>
      </vt:variant>
      <vt:variant>
        <vt:lpwstr/>
      </vt:variant>
      <vt:variant>
        <vt:i4>2621524</vt:i4>
      </vt:variant>
      <vt:variant>
        <vt:i4>10</vt:i4>
      </vt:variant>
      <vt:variant>
        <vt:i4>0</vt:i4>
      </vt:variant>
      <vt:variant>
        <vt:i4>5</vt:i4>
      </vt:variant>
      <vt:variant>
        <vt:lpwstr>http://www.tceq.texas.gov/permitting/air/permitbyrule/historical_rules/old106list/index106.html</vt:lpwstr>
      </vt:variant>
      <vt:variant>
        <vt:lpwstr/>
      </vt:variant>
      <vt:variant>
        <vt:i4>4390974</vt:i4>
      </vt:variant>
      <vt:variant>
        <vt:i4>5</vt:i4>
      </vt:variant>
      <vt:variant>
        <vt:i4>0</vt:i4>
      </vt:variant>
      <vt:variant>
        <vt:i4>5</vt:i4>
      </vt:variant>
      <vt:variant>
        <vt:lpwstr>http://www.tceq.texas.gov/permitting/air/nav/air_supportsys.html</vt:lpwstr>
      </vt:variant>
      <vt:variant>
        <vt:lpwstr/>
      </vt:variant>
      <vt:variant>
        <vt:i4>458876</vt:i4>
      </vt:variant>
      <vt:variant>
        <vt:i4>2</vt:i4>
      </vt:variant>
      <vt:variant>
        <vt:i4>0</vt:i4>
      </vt:variant>
      <vt:variant>
        <vt:i4>5</vt:i4>
      </vt:variant>
      <vt:variant>
        <vt:lpwstr>http://www.tceq.texas.gov/permitting/air/nav/air_all_ua_forms.html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Basis</dc:title>
  <dc:subject>Statement of Basis</dc:subject>
  <dc:creator>Vasant Chaphekar</dc:creator>
  <cp:keywords>Title V  SOB</cp:keywords>
  <cp:lastModifiedBy>Elizabeth Moorhead</cp:lastModifiedBy>
  <cp:revision>2</cp:revision>
  <cp:lastPrinted>2006-06-13T22:59:00Z</cp:lastPrinted>
  <dcterms:created xsi:type="dcterms:W3CDTF">2020-10-19T13:35:00Z</dcterms:created>
  <dcterms:modified xsi:type="dcterms:W3CDTF">2020-10-22T14:49:00Z</dcterms:modified>
</cp:coreProperties>
</file>